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52762142"/>
        <w:docPartObj>
          <w:docPartGallery w:val="Cover Pages"/>
          <w:docPartUnique/>
        </w:docPartObj>
      </w:sdtPr>
      <w:sdtEndPr/>
      <w:sdtContent>
        <w:p w14:paraId="2DCA7A2E" w14:textId="77777777" w:rsidR="00F12BCD" w:rsidRDefault="00F12BCD">
          <w:r>
            <w:rPr>
              <w:noProof/>
              <w:lang w:eastAsia="en-GB"/>
            </w:rPr>
            <w:drawing>
              <wp:anchor distT="0" distB="0" distL="114300" distR="114300" simplePos="0" relativeHeight="251660288" behindDoc="0" locked="0" layoutInCell="1" allowOverlap="1" wp14:anchorId="76E3CCBD" wp14:editId="1C327456">
                <wp:simplePos x="0" y="0"/>
                <wp:positionH relativeFrom="column">
                  <wp:posOffset>-444974</wp:posOffset>
                </wp:positionH>
                <wp:positionV relativeFrom="paragraph">
                  <wp:posOffset>0</wp:posOffset>
                </wp:positionV>
                <wp:extent cx="3008213" cy="1433015"/>
                <wp:effectExtent l="19050" t="0" r="1687" b="0"/>
                <wp:wrapSquare wrapText="bothSides"/>
                <wp:docPr id="6" name="Picture 1" descr="https://intranet.stroud.gov.uk/UMBS61/media/29548/SDCboxlogoA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troud.gov.uk/UMBS61/media/29548/SDCboxlogoA2col.jpg"/>
                        <pic:cNvPicPr>
                          <a:picLocks noChangeAspect="1" noChangeArrowheads="1"/>
                        </pic:cNvPicPr>
                      </pic:nvPicPr>
                      <pic:blipFill>
                        <a:blip r:embed="rId9" cstate="print"/>
                        <a:srcRect/>
                        <a:stretch>
                          <a:fillRect/>
                        </a:stretch>
                      </pic:blipFill>
                      <pic:spPr bwMode="auto">
                        <a:xfrm>
                          <a:off x="0" y="0"/>
                          <a:ext cx="3008213" cy="1433015"/>
                        </a:xfrm>
                        <a:prstGeom prst="rect">
                          <a:avLst/>
                        </a:prstGeom>
                        <a:noFill/>
                        <a:ln w="9525">
                          <a:noFill/>
                          <a:miter lim="800000"/>
                          <a:headEnd/>
                          <a:tailEnd/>
                        </a:ln>
                      </pic:spPr>
                    </pic:pic>
                  </a:graphicData>
                </a:graphic>
              </wp:anchor>
            </w:drawing>
          </w:r>
        </w:p>
        <w:tbl>
          <w:tblPr>
            <w:tblpPr w:leftFromText="187" w:rightFromText="187" w:horzAnchor="margin" w:tblpXSpec="right" w:tblpYSpec="top"/>
            <w:tblW w:w="2000" w:type="pct"/>
            <w:tblBorders>
              <w:top w:val="single" w:sz="36" w:space="0" w:color="008C75"/>
              <w:bottom w:val="single" w:sz="36" w:space="0" w:color="008C75"/>
              <w:insideH w:val="single" w:sz="36" w:space="0" w:color="008C75"/>
              <w:insideV w:val="single" w:sz="36" w:space="0" w:color="008C75"/>
            </w:tblBorders>
            <w:tblCellMar>
              <w:top w:w="360" w:type="dxa"/>
              <w:left w:w="115" w:type="dxa"/>
              <w:bottom w:w="360" w:type="dxa"/>
              <w:right w:w="115" w:type="dxa"/>
            </w:tblCellMar>
            <w:tblLook w:val="04A0" w:firstRow="1" w:lastRow="0" w:firstColumn="1" w:lastColumn="0" w:noHBand="0" w:noVBand="1"/>
          </w:tblPr>
          <w:tblGrid>
            <w:gridCol w:w="3610"/>
          </w:tblGrid>
          <w:tr w:rsidR="00F12BCD" w:rsidRPr="00F12BCD" w14:paraId="50945C2F" w14:textId="77777777" w:rsidTr="00F12BCD">
            <w:tc>
              <w:tcPr>
                <w:tcW w:w="0" w:type="auto"/>
              </w:tcPr>
              <w:p w14:paraId="4BBDEF5B" w14:textId="3CCCD1B0" w:rsidR="00F12BCD" w:rsidRPr="00F42AA8" w:rsidRDefault="00F82282" w:rsidP="00526D73">
                <w:pPr>
                  <w:pStyle w:val="NoSpacing"/>
                  <w:rPr>
                    <w:rFonts w:ascii="Arial" w:eastAsiaTheme="majorEastAsia" w:hAnsi="Arial" w:cs="Arial"/>
                    <w:sz w:val="56"/>
                    <w:szCs w:val="72"/>
                  </w:rPr>
                </w:pPr>
                <w:r>
                  <w:rPr>
                    <w:rFonts w:ascii="Arial" w:eastAsiaTheme="majorEastAsia" w:hAnsi="Arial" w:cs="Arial"/>
                    <w:sz w:val="56"/>
                    <w:szCs w:val="72"/>
                  </w:rPr>
                  <w:t>Gaining Access Policy</w:t>
                </w:r>
              </w:p>
            </w:tc>
          </w:tr>
          <w:tr w:rsidR="00F12BCD" w:rsidRPr="00F12BCD" w14:paraId="58F9EC87" w14:textId="77777777" w:rsidTr="00F12BCD">
            <w:tc>
              <w:tcPr>
                <w:tcW w:w="0" w:type="auto"/>
              </w:tcPr>
              <w:p w14:paraId="66A16704" w14:textId="2D4F9B7F" w:rsidR="00F12BCD" w:rsidRPr="0038752B" w:rsidRDefault="00337EB5" w:rsidP="00526D73">
                <w:pPr>
                  <w:pStyle w:val="NoSpacing"/>
                  <w:rPr>
                    <w:rFonts w:ascii="Arial" w:hAnsi="Arial" w:cs="Arial"/>
                    <w:sz w:val="40"/>
                    <w:szCs w:val="40"/>
                  </w:rPr>
                </w:pPr>
                <w:r>
                  <w:rPr>
                    <w:rFonts w:ascii="Arial" w:hAnsi="Arial" w:cs="Arial"/>
                    <w:sz w:val="32"/>
                    <w:szCs w:val="40"/>
                  </w:rPr>
                  <w:t>Novembe</w:t>
                </w:r>
                <w:r w:rsidR="006A3C68">
                  <w:rPr>
                    <w:rFonts w:ascii="Arial" w:hAnsi="Arial" w:cs="Arial"/>
                    <w:sz w:val="32"/>
                    <w:szCs w:val="40"/>
                  </w:rPr>
                  <w:t>r</w:t>
                </w:r>
                <w:r w:rsidR="00F82282">
                  <w:rPr>
                    <w:rFonts w:ascii="Arial" w:hAnsi="Arial" w:cs="Arial"/>
                    <w:sz w:val="32"/>
                    <w:szCs w:val="40"/>
                  </w:rPr>
                  <w:t xml:space="preserve"> 2024</w:t>
                </w:r>
              </w:p>
            </w:tc>
          </w:tr>
          <w:tr w:rsidR="00F12BCD" w:rsidRPr="00F12BCD" w14:paraId="54590BFC" w14:textId="77777777" w:rsidTr="00F12BCD">
            <w:tc>
              <w:tcPr>
                <w:tcW w:w="0" w:type="auto"/>
              </w:tcPr>
              <w:p w14:paraId="06F3DC5A" w14:textId="79D8F006" w:rsidR="00F12BCD" w:rsidRPr="0038752B" w:rsidRDefault="00F82282" w:rsidP="0076584A">
                <w:pPr>
                  <w:pStyle w:val="NoSpacing"/>
                  <w:rPr>
                    <w:rFonts w:ascii="Arial" w:hAnsi="Arial" w:cs="Arial"/>
                    <w:sz w:val="28"/>
                    <w:szCs w:val="28"/>
                    <w:lang w:val="en-GB"/>
                  </w:rPr>
                </w:pPr>
                <w:r>
                  <w:rPr>
                    <w:rFonts w:ascii="Arial" w:hAnsi="Arial" w:cs="Arial"/>
                    <w:sz w:val="32"/>
                    <w:szCs w:val="28"/>
                    <w:lang w:val="en-GB"/>
                  </w:rPr>
                  <w:t>Housing Services</w:t>
                </w:r>
              </w:p>
            </w:tc>
          </w:tr>
        </w:tbl>
        <w:p w14:paraId="772DB196" w14:textId="77777777" w:rsidR="00B13990" w:rsidRDefault="009E266C" w:rsidP="00F12BCD"/>
      </w:sdtContent>
    </w:sdt>
    <w:p w14:paraId="2F02CF0A" w14:textId="77777777" w:rsidR="004C43E0" w:rsidRDefault="004C43E0" w:rsidP="00F12BCD"/>
    <w:p w14:paraId="19CD7CBD" w14:textId="77777777" w:rsidR="004C43E0" w:rsidRDefault="004C43E0" w:rsidP="00F12BCD"/>
    <w:p w14:paraId="7B372AC9" w14:textId="77777777" w:rsidR="004C43E0" w:rsidRDefault="004C43E0" w:rsidP="00F12BCD"/>
    <w:p w14:paraId="0E714FD8" w14:textId="77777777" w:rsidR="004C43E0" w:rsidRDefault="004C43E0" w:rsidP="00F12BCD"/>
    <w:p w14:paraId="2C10B775" w14:textId="77777777" w:rsidR="004C43E0" w:rsidRDefault="004C43E0" w:rsidP="00F12BCD"/>
    <w:p w14:paraId="185AE0DE" w14:textId="77777777" w:rsidR="004C43E0" w:rsidRDefault="004C43E0" w:rsidP="00F12BCD"/>
    <w:p w14:paraId="7171648F" w14:textId="77777777" w:rsidR="004C43E0" w:rsidRDefault="004C43E0" w:rsidP="00F12BCD"/>
    <w:p w14:paraId="262BBFD5" w14:textId="77777777" w:rsidR="004C43E0" w:rsidRDefault="004C43E0" w:rsidP="00F12BCD"/>
    <w:p w14:paraId="776B07D9" w14:textId="77777777" w:rsidR="004C43E0" w:rsidRDefault="004C43E0" w:rsidP="00F12BCD"/>
    <w:p w14:paraId="6018F5E2" w14:textId="77777777" w:rsidR="004C43E0" w:rsidRDefault="004C43E0" w:rsidP="00F12BCD"/>
    <w:p w14:paraId="389DC83A" w14:textId="77777777" w:rsidR="004C43E0" w:rsidRDefault="004C43E0" w:rsidP="00F12BCD"/>
    <w:p w14:paraId="18172CD8" w14:textId="77777777" w:rsidR="004C43E0" w:rsidRDefault="004C43E0" w:rsidP="00F12BCD"/>
    <w:p w14:paraId="4C2010CB" w14:textId="77777777" w:rsidR="004C43E0" w:rsidRDefault="004C43E0" w:rsidP="00F12BCD"/>
    <w:p w14:paraId="053109AD" w14:textId="77777777" w:rsidR="004C43E0" w:rsidRDefault="004C43E0" w:rsidP="00F12BCD"/>
    <w:p w14:paraId="454CE1BA" w14:textId="77777777" w:rsidR="004C43E0" w:rsidRPr="0038752B" w:rsidRDefault="004C43E0" w:rsidP="00F12BCD">
      <w:pPr>
        <w:rPr>
          <w:rFonts w:cs="Arial"/>
        </w:rPr>
      </w:pPr>
    </w:p>
    <w:p w14:paraId="317C7908" w14:textId="77777777" w:rsidR="004C43E0" w:rsidRPr="0038752B" w:rsidRDefault="004C43E0" w:rsidP="00F12BCD">
      <w:pPr>
        <w:rPr>
          <w:rFonts w:cs="Arial"/>
        </w:rPr>
      </w:pPr>
    </w:p>
    <w:p w14:paraId="0F3C074B" w14:textId="77777777" w:rsidR="00F42AA8" w:rsidRDefault="00F42AA8">
      <w:pPr>
        <w:rPr>
          <w:rFonts w:cs="Arial"/>
          <w:sz w:val="20"/>
        </w:rPr>
      </w:pPr>
    </w:p>
    <w:p w14:paraId="0CF0847E" w14:textId="77777777" w:rsidR="00F07987" w:rsidRDefault="00F07987">
      <w:pPr>
        <w:rPr>
          <w:rFonts w:cs="Arial"/>
          <w:sz w:val="20"/>
        </w:rPr>
      </w:pPr>
    </w:p>
    <w:p w14:paraId="02178AC0" w14:textId="77777777" w:rsidR="00F07987" w:rsidRDefault="00F07987">
      <w:pPr>
        <w:rPr>
          <w:rFonts w:cs="Arial"/>
          <w:sz w:val="20"/>
        </w:rPr>
      </w:pPr>
    </w:p>
    <w:p w14:paraId="1C207C6D" w14:textId="3D2A86B3" w:rsidR="00F70D6B" w:rsidRDefault="00F70D6B">
      <w:pPr>
        <w:rPr>
          <w:rFonts w:cs="Arial"/>
          <w:sz w:val="20"/>
        </w:rPr>
      </w:pPr>
    </w:p>
    <w:p w14:paraId="237E57DF" w14:textId="7A5AB06A" w:rsidR="00310AD9" w:rsidRDefault="00310AD9">
      <w:pPr>
        <w:rPr>
          <w:rFonts w:cs="Arial"/>
          <w:sz w:val="20"/>
        </w:rPr>
      </w:pPr>
    </w:p>
    <w:p w14:paraId="042EC347" w14:textId="0EC5C89F" w:rsidR="00310AD9" w:rsidRDefault="00310AD9">
      <w:pPr>
        <w:rPr>
          <w:rFonts w:cs="Arial"/>
          <w:sz w:val="20"/>
        </w:rPr>
      </w:pPr>
    </w:p>
    <w:p w14:paraId="54AE23C6" w14:textId="77777777" w:rsidR="00310AD9" w:rsidRDefault="00310AD9">
      <w:pPr>
        <w:rPr>
          <w:rFonts w:cs="Arial"/>
          <w:sz w:val="20"/>
        </w:rPr>
      </w:pPr>
    </w:p>
    <w:p w14:paraId="648E529A" w14:textId="77777777" w:rsidR="006D7C8A" w:rsidRDefault="006D7C8A" w:rsidP="00F42AA8">
      <w:pPr>
        <w:spacing w:after="0"/>
        <w:rPr>
          <w:rFonts w:cs="Arial"/>
          <w:sz w:val="20"/>
        </w:rPr>
      </w:pPr>
    </w:p>
    <w:p w14:paraId="350151BF" w14:textId="77777777" w:rsidR="006D7C8A" w:rsidRDefault="006D7C8A" w:rsidP="00F42AA8">
      <w:pPr>
        <w:spacing w:after="0"/>
        <w:rPr>
          <w:rFonts w:cs="Arial"/>
          <w:sz w:val="20"/>
        </w:rPr>
      </w:pPr>
    </w:p>
    <w:p w14:paraId="7E6BCCB8" w14:textId="77777777" w:rsidR="006D7C8A" w:rsidRDefault="006D7C8A" w:rsidP="00F42AA8">
      <w:pPr>
        <w:spacing w:after="0"/>
        <w:rPr>
          <w:rFonts w:cs="Arial"/>
          <w:sz w:val="20"/>
        </w:rPr>
      </w:pPr>
    </w:p>
    <w:p w14:paraId="1EE3D5F1" w14:textId="68D6FE35" w:rsidR="00F42AA8" w:rsidRDefault="00F42AA8" w:rsidP="00F42AA8">
      <w:pPr>
        <w:spacing w:after="0"/>
        <w:rPr>
          <w:rFonts w:cs="Arial"/>
          <w:sz w:val="20"/>
        </w:rPr>
      </w:pPr>
      <w:r w:rsidRPr="00F42AA8">
        <w:rPr>
          <w:rFonts w:cs="Arial"/>
          <w:sz w:val="20"/>
        </w:rPr>
        <w:t>Stroud District Council</w:t>
      </w:r>
    </w:p>
    <w:p w14:paraId="259344E9" w14:textId="0947D73C" w:rsidR="00F42AA8" w:rsidRDefault="00F42AA8" w:rsidP="00F42AA8">
      <w:pPr>
        <w:spacing w:after="0"/>
        <w:rPr>
          <w:rFonts w:cs="Arial"/>
          <w:sz w:val="20"/>
        </w:rPr>
      </w:pPr>
      <w:proofErr w:type="spellStart"/>
      <w:r>
        <w:rPr>
          <w:rFonts w:cs="Arial"/>
          <w:sz w:val="20"/>
        </w:rPr>
        <w:t>Ebley</w:t>
      </w:r>
      <w:proofErr w:type="spellEnd"/>
      <w:r>
        <w:rPr>
          <w:rFonts w:cs="Arial"/>
          <w:sz w:val="20"/>
        </w:rPr>
        <w:t xml:space="preserve"> Mill</w:t>
      </w:r>
    </w:p>
    <w:p w14:paraId="2418C3E2" w14:textId="1414AD86" w:rsidR="00E15310" w:rsidRDefault="00E15310" w:rsidP="00F42AA8">
      <w:pPr>
        <w:spacing w:after="0"/>
        <w:rPr>
          <w:rFonts w:cs="Arial"/>
          <w:sz w:val="20"/>
        </w:rPr>
      </w:pPr>
      <w:r>
        <w:rPr>
          <w:rFonts w:cs="Arial"/>
          <w:sz w:val="20"/>
        </w:rPr>
        <w:t>Stroud</w:t>
      </w:r>
    </w:p>
    <w:p w14:paraId="78519CE2" w14:textId="0DF9C97A" w:rsidR="00E15310" w:rsidRDefault="00E15310" w:rsidP="00F42AA8">
      <w:pPr>
        <w:spacing w:after="0"/>
        <w:rPr>
          <w:rFonts w:cs="Arial"/>
          <w:sz w:val="20"/>
        </w:rPr>
      </w:pPr>
      <w:r>
        <w:rPr>
          <w:rFonts w:cs="Arial"/>
          <w:sz w:val="20"/>
        </w:rPr>
        <w:t>GL5 4UB</w:t>
      </w:r>
    </w:p>
    <w:p w14:paraId="1DC767A1" w14:textId="77777777" w:rsidR="00F42AA8" w:rsidRDefault="00F42AA8" w:rsidP="00F42AA8">
      <w:pPr>
        <w:spacing w:after="0"/>
        <w:rPr>
          <w:rFonts w:cs="Arial"/>
          <w:sz w:val="20"/>
        </w:rPr>
      </w:pPr>
    </w:p>
    <w:p w14:paraId="05DF3BD2" w14:textId="5DC3E058" w:rsidR="00F42AA8" w:rsidRDefault="00F42AA8" w:rsidP="00F42AA8">
      <w:pPr>
        <w:spacing w:after="0"/>
        <w:rPr>
          <w:rFonts w:cs="Arial"/>
          <w:sz w:val="20"/>
        </w:rPr>
      </w:pPr>
      <w:r>
        <w:rPr>
          <w:rFonts w:cs="Arial"/>
          <w:sz w:val="20"/>
        </w:rPr>
        <w:t>Email:</w:t>
      </w:r>
      <w:r w:rsidR="0047448A">
        <w:rPr>
          <w:rFonts w:cs="Arial"/>
          <w:sz w:val="20"/>
        </w:rPr>
        <w:t xml:space="preserve"> </w:t>
      </w:r>
      <w:hyperlink r:id="rId10" w:history="1">
        <w:r w:rsidR="0047448A" w:rsidRPr="009E4BAA">
          <w:rPr>
            <w:rStyle w:val="Hyperlink"/>
            <w:rFonts w:cs="Arial"/>
            <w:sz w:val="20"/>
          </w:rPr>
          <w:t>customer.services@stroud.gov.uk</w:t>
        </w:r>
      </w:hyperlink>
      <w:r w:rsidR="0047448A">
        <w:rPr>
          <w:rFonts w:cs="Arial"/>
          <w:sz w:val="20"/>
        </w:rPr>
        <w:t xml:space="preserve"> </w:t>
      </w:r>
    </w:p>
    <w:p w14:paraId="6006A0D5" w14:textId="7904B260" w:rsidR="00F42AA8" w:rsidRDefault="00F42AA8" w:rsidP="00F42AA8">
      <w:pPr>
        <w:spacing w:after="0"/>
        <w:rPr>
          <w:rFonts w:cs="Arial"/>
          <w:sz w:val="20"/>
        </w:rPr>
      </w:pPr>
      <w:r>
        <w:rPr>
          <w:rFonts w:cs="Arial"/>
          <w:sz w:val="20"/>
        </w:rPr>
        <w:t>Website:</w:t>
      </w:r>
      <w:r w:rsidR="00E15310">
        <w:rPr>
          <w:rFonts w:cs="Arial"/>
          <w:sz w:val="20"/>
        </w:rPr>
        <w:t xml:space="preserve"> </w:t>
      </w:r>
      <w:hyperlink r:id="rId11" w:history="1">
        <w:r w:rsidR="00E15310" w:rsidRPr="009E4BAA">
          <w:rPr>
            <w:rStyle w:val="Hyperlink"/>
            <w:rFonts w:cs="Arial"/>
            <w:sz w:val="20"/>
          </w:rPr>
          <w:t>https://www.stroud.gov.uk/</w:t>
        </w:r>
      </w:hyperlink>
      <w:r w:rsidR="00E15310">
        <w:rPr>
          <w:rFonts w:cs="Arial"/>
          <w:sz w:val="20"/>
        </w:rPr>
        <w:t xml:space="preserve"> </w:t>
      </w:r>
    </w:p>
    <w:p w14:paraId="7954F865" w14:textId="36541ED0" w:rsidR="00F42AA8" w:rsidRDefault="00F42AA8" w:rsidP="00F42AA8">
      <w:pPr>
        <w:spacing w:after="0"/>
        <w:rPr>
          <w:rFonts w:cs="Arial"/>
          <w:sz w:val="20"/>
        </w:rPr>
      </w:pPr>
      <w:r>
        <w:rPr>
          <w:rFonts w:cs="Arial"/>
          <w:sz w:val="20"/>
        </w:rPr>
        <w:t>Telephone:</w:t>
      </w:r>
      <w:r w:rsidR="00E15310">
        <w:rPr>
          <w:rFonts w:cs="Arial"/>
          <w:sz w:val="20"/>
        </w:rPr>
        <w:t xml:space="preserve"> </w:t>
      </w:r>
      <w:r w:rsidR="00E15310" w:rsidRPr="00E15310">
        <w:rPr>
          <w:rFonts w:cs="Arial"/>
          <w:sz w:val="20"/>
        </w:rPr>
        <w:t>01453 766321</w:t>
      </w:r>
    </w:p>
    <w:p w14:paraId="7A34D24D" w14:textId="69B3678D" w:rsidR="00F42AA8" w:rsidRDefault="00F42AA8" w:rsidP="00F42AA8">
      <w:pPr>
        <w:spacing w:after="0"/>
      </w:pPr>
      <w:r>
        <w:br w:type="page"/>
      </w:r>
    </w:p>
    <w:tbl>
      <w:tblPr>
        <w:tblStyle w:val="TableGrid"/>
        <w:tblW w:w="0" w:type="auto"/>
        <w:tblLook w:val="04A0" w:firstRow="1" w:lastRow="0" w:firstColumn="1" w:lastColumn="0" w:noHBand="0" w:noVBand="1"/>
      </w:tblPr>
      <w:tblGrid>
        <w:gridCol w:w="3005"/>
        <w:gridCol w:w="3005"/>
        <w:gridCol w:w="3006"/>
      </w:tblGrid>
      <w:tr w:rsidR="007C5A1C" w14:paraId="5A091438" w14:textId="77777777" w:rsidTr="007C5A1C">
        <w:tc>
          <w:tcPr>
            <w:tcW w:w="9016" w:type="dxa"/>
            <w:gridSpan w:val="3"/>
            <w:shd w:val="clear" w:color="auto" w:fill="D9D9D9" w:themeFill="background1" w:themeFillShade="D9"/>
          </w:tcPr>
          <w:p w14:paraId="24B1F4CD" w14:textId="460EEAD0" w:rsidR="007C5A1C" w:rsidRDefault="007C5A1C" w:rsidP="0076584A">
            <w:r>
              <w:rPr>
                <w:b/>
              </w:rPr>
              <w:lastRenderedPageBreak/>
              <w:t>Document Responsibility</w:t>
            </w:r>
          </w:p>
        </w:tc>
      </w:tr>
      <w:tr w:rsidR="007C5A1C" w14:paraId="00D50D1F" w14:textId="77777777" w:rsidTr="007C5A1C">
        <w:tc>
          <w:tcPr>
            <w:tcW w:w="3005" w:type="dxa"/>
          </w:tcPr>
          <w:p w14:paraId="29598794" w14:textId="331A67C4" w:rsidR="007C5A1C" w:rsidRDefault="007C5A1C" w:rsidP="007C5A1C">
            <w:r>
              <w:rPr>
                <w:b/>
                <w:sz w:val="20"/>
                <w:szCs w:val="20"/>
              </w:rPr>
              <w:t>Name</w:t>
            </w:r>
          </w:p>
        </w:tc>
        <w:tc>
          <w:tcPr>
            <w:tcW w:w="3005" w:type="dxa"/>
          </w:tcPr>
          <w:p w14:paraId="6AB30D6F" w14:textId="514BF0A0" w:rsidR="007C5A1C" w:rsidRDefault="007C5A1C" w:rsidP="007C5A1C">
            <w:r>
              <w:rPr>
                <w:b/>
                <w:sz w:val="20"/>
                <w:szCs w:val="20"/>
              </w:rPr>
              <w:t>Document title</w:t>
            </w:r>
          </w:p>
        </w:tc>
        <w:tc>
          <w:tcPr>
            <w:tcW w:w="3006" w:type="dxa"/>
          </w:tcPr>
          <w:p w14:paraId="72173EE7" w14:textId="6DC54F89" w:rsidR="007C5A1C" w:rsidRDefault="007C5A1C" w:rsidP="007C5A1C">
            <w:r>
              <w:rPr>
                <w:b/>
                <w:sz w:val="20"/>
                <w:szCs w:val="20"/>
              </w:rPr>
              <w:t>Service</w:t>
            </w:r>
          </w:p>
        </w:tc>
      </w:tr>
      <w:tr w:rsidR="007C5A1C" w14:paraId="1A163AE0" w14:textId="77777777" w:rsidTr="00D0587A">
        <w:tc>
          <w:tcPr>
            <w:tcW w:w="3005" w:type="dxa"/>
            <w:shd w:val="clear" w:color="auto" w:fill="auto"/>
          </w:tcPr>
          <w:p w14:paraId="086512A4" w14:textId="0295F092" w:rsidR="007C5A1C" w:rsidRPr="007C5A1C" w:rsidRDefault="00D0587A" w:rsidP="007C5A1C">
            <w:pPr>
              <w:rPr>
                <w:sz w:val="20"/>
              </w:rPr>
            </w:pPr>
            <w:r>
              <w:rPr>
                <w:sz w:val="20"/>
              </w:rPr>
              <w:t>Jen O’Grady</w:t>
            </w:r>
          </w:p>
        </w:tc>
        <w:tc>
          <w:tcPr>
            <w:tcW w:w="3005" w:type="dxa"/>
          </w:tcPr>
          <w:p w14:paraId="2888CFC8" w14:textId="7B5AB0D2" w:rsidR="007C5A1C" w:rsidRPr="007C5A1C" w:rsidRDefault="00F82282" w:rsidP="007C5A1C">
            <w:pPr>
              <w:rPr>
                <w:sz w:val="20"/>
              </w:rPr>
            </w:pPr>
            <w:r>
              <w:rPr>
                <w:sz w:val="20"/>
              </w:rPr>
              <w:t>Gaining Access Policy</w:t>
            </w:r>
          </w:p>
        </w:tc>
        <w:tc>
          <w:tcPr>
            <w:tcW w:w="3006" w:type="dxa"/>
          </w:tcPr>
          <w:p w14:paraId="23980576" w14:textId="6FA0379B" w:rsidR="007C5A1C" w:rsidRPr="007C5A1C" w:rsidRDefault="00F82282" w:rsidP="007C5A1C">
            <w:pPr>
              <w:rPr>
                <w:sz w:val="20"/>
              </w:rPr>
            </w:pPr>
            <w:r>
              <w:rPr>
                <w:sz w:val="20"/>
              </w:rPr>
              <w:t>Housing Services</w:t>
            </w:r>
          </w:p>
        </w:tc>
      </w:tr>
      <w:tr w:rsidR="007C5A1C" w14:paraId="5ED0EA00" w14:textId="77777777" w:rsidTr="007C5A1C">
        <w:tc>
          <w:tcPr>
            <w:tcW w:w="3005" w:type="dxa"/>
          </w:tcPr>
          <w:p w14:paraId="4CA09606" w14:textId="77777777" w:rsidR="007C5A1C" w:rsidRDefault="007C5A1C" w:rsidP="007C5A1C">
            <w:pPr>
              <w:rPr>
                <w:sz w:val="20"/>
              </w:rPr>
            </w:pPr>
          </w:p>
        </w:tc>
        <w:tc>
          <w:tcPr>
            <w:tcW w:w="3005" w:type="dxa"/>
          </w:tcPr>
          <w:p w14:paraId="47A83866" w14:textId="77777777" w:rsidR="007C5A1C" w:rsidRDefault="007C5A1C" w:rsidP="007C5A1C">
            <w:pPr>
              <w:rPr>
                <w:sz w:val="20"/>
              </w:rPr>
            </w:pPr>
          </w:p>
        </w:tc>
        <w:tc>
          <w:tcPr>
            <w:tcW w:w="3006" w:type="dxa"/>
          </w:tcPr>
          <w:p w14:paraId="1B888131" w14:textId="77777777" w:rsidR="007C5A1C" w:rsidRDefault="007C5A1C" w:rsidP="007C5A1C">
            <w:pPr>
              <w:rPr>
                <w:sz w:val="20"/>
              </w:rPr>
            </w:pPr>
          </w:p>
        </w:tc>
      </w:tr>
    </w:tbl>
    <w:p w14:paraId="4A7B27EE" w14:textId="77777777" w:rsidR="00754D9E" w:rsidRDefault="00754D9E" w:rsidP="0076584A"/>
    <w:tbl>
      <w:tblPr>
        <w:tblStyle w:val="TableGrid"/>
        <w:tblW w:w="0" w:type="auto"/>
        <w:tblLook w:val="04A0" w:firstRow="1" w:lastRow="0" w:firstColumn="1" w:lastColumn="0" w:noHBand="0" w:noVBand="1"/>
      </w:tblPr>
      <w:tblGrid>
        <w:gridCol w:w="2259"/>
        <w:gridCol w:w="2249"/>
        <w:gridCol w:w="2250"/>
        <w:gridCol w:w="2258"/>
      </w:tblGrid>
      <w:tr w:rsidR="007C5A1C" w14:paraId="1A85F8B1" w14:textId="77777777" w:rsidTr="00846812">
        <w:tc>
          <w:tcPr>
            <w:tcW w:w="9242" w:type="dxa"/>
            <w:gridSpan w:val="4"/>
            <w:shd w:val="pct12" w:color="auto" w:fill="auto"/>
          </w:tcPr>
          <w:p w14:paraId="1277D729" w14:textId="09AC7896" w:rsidR="007C5A1C" w:rsidRDefault="00B6030D" w:rsidP="00846812">
            <w:r>
              <w:rPr>
                <w:b/>
              </w:rPr>
              <w:t>Document Version Control</w:t>
            </w:r>
            <w:r w:rsidR="007C5A1C">
              <w:rPr>
                <w:b/>
              </w:rPr>
              <w:t xml:space="preserve"> </w:t>
            </w:r>
          </w:p>
        </w:tc>
      </w:tr>
      <w:tr w:rsidR="007C5A1C" w14:paraId="68069675" w14:textId="77777777" w:rsidTr="00846812">
        <w:tc>
          <w:tcPr>
            <w:tcW w:w="2310" w:type="dxa"/>
          </w:tcPr>
          <w:p w14:paraId="20A26C01" w14:textId="77777777" w:rsidR="007C5A1C" w:rsidRPr="00C870B4" w:rsidRDefault="007C5A1C" w:rsidP="00846812">
            <w:pPr>
              <w:rPr>
                <w:b/>
                <w:sz w:val="20"/>
                <w:szCs w:val="20"/>
              </w:rPr>
            </w:pPr>
            <w:r w:rsidRPr="00C870B4">
              <w:rPr>
                <w:b/>
                <w:sz w:val="20"/>
                <w:szCs w:val="20"/>
              </w:rPr>
              <w:t>Date</w:t>
            </w:r>
          </w:p>
        </w:tc>
        <w:tc>
          <w:tcPr>
            <w:tcW w:w="2310" w:type="dxa"/>
          </w:tcPr>
          <w:p w14:paraId="121623B4" w14:textId="77777777" w:rsidR="007C5A1C" w:rsidRPr="00C870B4" w:rsidRDefault="007C5A1C" w:rsidP="00846812">
            <w:pPr>
              <w:rPr>
                <w:b/>
                <w:sz w:val="20"/>
                <w:szCs w:val="20"/>
              </w:rPr>
            </w:pPr>
            <w:r w:rsidRPr="00C870B4">
              <w:rPr>
                <w:b/>
                <w:sz w:val="20"/>
                <w:szCs w:val="20"/>
              </w:rPr>
              <w:t>Version</w:t>
            </w:r>
          </w:p>
        </w:tc>
        <w:tc>
          <w:tcPr>
            <w:tcW w:w="2311" w:type="dxa"/>
          </w:tcPr>
          <w:p w14:paraId="766472D9" w14:textId="77777777" w:rsidR="007C5A1C" w:rsidRPr="00C870B4" w:rsidRDefault="007C5A1C" w:rsidP="00846812">
            <w:pPr>
              <w:rPr>
                <w:b/>
                <w:sz w:val="20"/>
                <w:szCs w:val="20"/>
              </w:rPr>
            </w:pPr>
            <w:r w:rsidRPr="00C870B4">
              <w:rPr>
                <w:b/>
                <w:sz w:val="20"/>
                <w:szCs w:val="20"/>
              </w:rPr>
              <w:t>Issued by</w:t>
            </w:r>
          </w:p>
        </w:tc>
        <w:tc>
          <w:tcPr>
            <w:tcW w:w="2311" w:type="dxa"/>
          </w:tcPr>
          <w:p w14:paraId="0696F375" w14:textId="77777777" w:rsidR="007C5A1C" w:rsidRPr="00C870B4" w:rsidRDefault="007C5A1C" w:rsidP="00846812">
            <w:pPr>
              <w:rPr>
                <w:b/>
                <w:sz w:val="20"/>
                <w:szCs w:val="20"/>
              </w:rPr>
            </w:pPr>
            <w:r w:rsidRPr="00C870B4">
              <w:rPr>
                <w:b/>
                <w:sz w:val="20"/>
                <w:szCs w:val="20"/>
              </w:rPr>
              <w:t>Summary of changes</w:t>
            </w:r>
          </w:p>
        </w:tc>
      </w:tr>
      <w:tr w:rsidR="007C5A1C" w14:paraId="3D097F0D" w14:textId="77777777" w:rsidTr="00846812">
        <w:tc>
          <w:tcPr>
            <w:tcW w:w="2310" w:type="dxa"/>
          </w:tcPr>
          <w:p w14:paraId="5FC7073B" w14:textId="496B9735" w:rsidR="007C5A1C" w:rsidRPr="00C870B4" w:rsidRDefault="00F82282" w:rsidP="00846812">
            <w:pPr>
              <w:rPr>
                <w:sz w:val="20"/>
              </w:rPr>
            </w:pPr>
            <w:r>
              <w:rPr>
                <w:sz w:val="20"/>
              </w:rPr>
              <w:t>July 2024</w:t>
            </w:r>
          </w:p>
        </w:tc>
        <w:tc>
          <w:tcPr>
            <w:tcW w:w="2310" w:type="dxa"/>
          </w:tcPr>
          <w:p w14:paraId="716D3E85" w14:textId="151F82FE" w:rsidR="007C5A1C" w:rsidRPr="00C870B4" w:rsidRDefault="00F82282" w:rsidP="00846812">
            <w:pPr>
              <w:rPr>
                <w:sz w:val="20"/>
              </w:rPr>
            </w:pPr>
            <w:r>
              <w:rPr>
                <w:sz w:val="20"/>
              </w:rPr>
              <w:t>V1</w:t>
            </w:r>
          </w:p>
        </w:tc>
        <w:tc>
          <w:tcPr>
            <w:tcW w:w="2311" w:type="dxa"/>
          </w:tcPr>
          <w:p w14:paraId="0704573A" w14:textId="0D787349" w:rsidR="007C5A1C" w:rsidRPr="00C870B4" w:rsidRDefault="00F82282" w:rsidP="00846812">
            <w:pPr>
              <w:rPr>
                <w:sz w:val="20"/>
              </w:rPr>
            </w:pPr>
            <w:r>
              <w:rPr>
                <w:sz w:val="20"/>
              </w:rPr>
              <w:t>Adrian Erwood</w:t>
            </w:r>
          </w:p>
        </w:tc>
        <w:tc>
          <w:tcPr>
            <w:tcW w:w="2311" w:type="dxa"/>
          </w:tcPr>
          <w:p w14:paraId="4C92F68E" w14:textId="4F9A01F0" w:rsidR="007C5A1C" w:rsidRPr="00C870B4" w:rsidRDefault="00F82282" w:rsidP="00846812">
            <w:pPr>
              <w:rPr>
                <w:sz w:val="20"/>
              </w:rPr>
            </w:pPr>
            <w:r>
              <w:rPr>
                <w:sz w:val="20"/>
              </w:rPr>
              <w:t>First draft</w:t>
            </w:r>
          </w:p>
        </w:tc>
      </w:tr>
      <w:tr w:rsidR="007C5A1C" w14:paraId="37D1AA62" w14:textId="77777777" w:rsidTr="00846812">
        <w:tc>
          <w:tcPr>
            <w:tcW w:w="2310" w:type="dxa"/>
          </w:tcPr>
          <w:p w14:paraId="305BEAEB" w14:textId="45D83A6F" w:rsidR="007C5A1C" w:rsidRPr="00C870B4" w:rsidRDefault="002033AF" w:rsidP="00846812">
            <w:pPr>
              <w:rPr>
                <w:sz w:val="20"/>
              </w:rPr>
            </w:pPr>
            <w:r>
              <w:rPr>
                <w:sz w:val="20"/>
              </w:rPr>
              <w:t>September 2024</w:t>
            </w:r>
          </w:p>
        </w:tc>
        <w:tc>
          <w:tcPr>
            <w:tcW w:w="2310" w:type="dxa"/>
          </w:tcPr>
          <w:p w14:paraId="51500100" w14:textId="16248349" w:rsidR="007C5A1C" w:rsidRPr="00C870B4" w:rsidRDefault="002033AF" w:rsidP="00846812">
            <w:pPr>
              <w:rPr>
                <w:sz w:val="20"/>
              </w:rPr>
            </w:pPr>
            <w:r>
              <w:rPr>
                <w:sz w:val="20"/>
              </w:rPr>
              <w:t>V2</w:t>
            </w:r>
          </w:p>
        </w:tc>
        <w:tc>
          <w:tcPr>
            <w:tcW w:w="2311" w:type="dxa"/>
          </w:tcPr>
          <w:p w14:paraId="05434FB8" w14:textId="5B8620F0" w:rsidR="007C5A1C" w:rsidRPr="00C870B4" w:rsidRDefault="002033AF" w:rsidP="00846812">
            <w:pPr>
              <w:rPr>
                <w:sz w:val="20"/>
              </w:rPr>
            </w:pPr>
            <w:r>
              <w:rPr>
                <w:sz w:val="20"/>
              </w:rPr>
              <w:t>Jen O’Grady</w:t>
            </w:r>
          </w:p>
        </w:tc>
        <w:tc>
          <w:tcPr>
            <w:tcW w:w="2311" w:type="dxa"/>
          </w:tcPr>
          <w:p w14:paraId="0255FCD8" w14:textId="2D7DE347" w:rsidR="007C5A1C" w:rsidRPr="00C870B4" w:rsidRDefault="002033AF" w:rsidP="00846812">
            <w:pPr>
              <w:rPr>
                <w:sz w:val="20"/>
              </w:rPr>
            </w:pPr>
            <w:r>
              <w:rPr>
                <w:sz w:val="20"/>
              </w:rPr>
              <w:t>Revised draft</w:t>
            </w:r>
          </w:p>
        </w:tc>
      </w:tr>
    </w:tbl>
    <w:p w14:paraId="27ABE028" w14:textId="77777777" w:rsidR="007C5A1C" w:rsidRDefault="007C5A1C"/>
    <w:tbl>
      <w:tblPr>
        <w:tblStyle w:val="TableGrid"/>
        <w:tblW w:w="0" w:type="auto"/>
        <w:tblLook w:val="04A0" w:firstRow="1" w:lastRow="0" w:firstColumn="1" w:lastColumn="0" w:noHBand="0" w:noVBand="1"/>
      </w:tblPr>
      <w:tblGrid>
        <w:gridCol w:w="2254"/>
        <w:gridCol w:w="2253"/>
        <w:gridCol w:w="2264"/>
        <w:gridCol w:w="2245"/>
      </w:tblGrid>
      <w:tr w:rsidR="007C5A1C" w14:paraId="64E9DD48" w14:textId="77777777" w:rsidTr="00B41B86">
        <w:tc>
          <w:tcPr>
            <w:tcW w:w="9016" w:type="dxa"/>
            <w:gridSpan w:val="4"/>
            <w:shd w:val="pct12" w:color="auto" w:fill="auto"/>
          </w:tcPr>
          <w:p w14:paraId="2DC11FB3" w14:textId="59389F0D" w:rsidR="007C5A1C" w:rsidRDefault="00B6030D" w:rsidP="00846812">
            <w:r>
              <w:rPr>
                <w:b/>
              </w:rPr>
              <w:t>Policy Review</w:t>
            </w:r>
            <w:r w:rsidR="007C5A1C">
              <w:rPr>
                <w:b/>
              </w:rPr>
              <w:t xml:space="preserve"> </w:t>
            </w:r>
          </w:p>
        </w:tc>
      </w:tr>
      <w:tr w:rsidR="00B6030D" w14:paraId="482FA69F" w14:textId="77777777" w:rsidTr="00B41B86">
        <w:tc>
          <w:tcPr>
            <w:tcW w:w="2254" w:type="dxa"/>
          </w:tcPr>
          <w:p w14:paraId="7ADB0964" w14:textId="3650C25D" w:rsidR="007C5A1C" w:rsidRPr="00C870B4" w:rsidRDefault="00B6030D" w:rsidP="00846812">
            <w:pPr>
              <w:rPr>
                <w:b/>
                <w:sz w:val="20"/>
                <w:szCs w:val="20"/>
              </w:rPr>
            </w:pPr>
            <w:r>
              <w:rPr>
                <w:b/>
                <w:sz w:val="20"/>
                <w:szCs w:val="20"/>
              </w:rPr>
              <w:t>Updating frequency</w:t>
            </w:r>
          </w:p>
        </w:tc>
        <w:tc>
          <w:tcPr>
            <w:tcW w:w="2253" w:type="dxa"/>
          </w:tcPr>
          <w:p w14:paraId="4004334B" w14:textId="1E0E9809" w:rsidR="007C5A1C" w:rsidRPr="00C870B4" w:rsidRDefault="00B6030D" w:rsidP="00846812">
            <w:pPr>
              <w:rPr>
                <w:b/>
                <w:sz w:val="20"/>
                <w:szCs w:val="20"/>
              </w:rPr>
            </w:pPr>
            <w:r>
              <w:rPr>
                <w:b/>
                <w:sz w:val="20"/>
                <w:szCs w:val="20"/>
              </w:rPr>
              <w:t>Review date</w:t>
            </w:r>
          </w:p>
        </w:tc>
        <w:tc>
          <w:tcPr>
            <w:tcW w:w="2264" w:type="dxa"/>
          </w:tcPr>
          <w:p w14:paraId="7C30A8B9" w14:textId="65E9E572" w:rsidR="007C5A1C" w:rsidRPr="00C870B4" w:rsidRDefault="00B6030D" w:rsidP="00846812">
            <w:pPr>
              <w:rPr>
                <w:b/>
                <w:sz w:val="20"/>
                <w:szCs w:val="20"/>
              </w:rPr>
            </w:pPr>
            <w:r>
              <w:rPr>
                <w:b/>
                <w:sz w:val="20"/>
                <w:szCs w:val="20"/>
              </w:rPr>
              <w:t>Person responsible</w:t>
            </w:r>
          </w:p>
        </w:tc>
        <w:tc>
          <w:tcPr>
            <w:tcW w:w="2245" w:type="dxa"/>
          </w:tcPr>
          <w:p w14:paraId="71C5B14C" w14:textId="473B995F" w:rsidR="007C5A1C" w:rsidRPr="00C870B4" w:rsidRDefault="00B6030D" w:rsidP="00846812">
            <w:pPr>
              <w:rPr>
                <w:b/>
                <w:sz w:val="20"/>
                <w:szCs w:val="20"/>
              </w:rPr>
            </w:pPr>
            <w:r>
              <w:rPr>
                <w:b/>
                <w:sz w:val="20"/>
                <w:szCs w:val="20"/>
              </w:rPr>
              <w:t>Service</w:t>
            </w:r>
          </w:p>
        </w:tc>
      </w:tr>
      <w:tr w:rsidR="00B6030D" w14:paraId="4508B1A9" w14:textId="77777777" w:rsidTr="00736069">
        <w:tc>
          <w:tcPr>
            <w:tcW w:w="2254" w:type="dxa"/>
            <w:shd w:val="clear" w:color="auto" w:fill="auto"/>
          </w:tcPr>
          <w:p w14:paraId="6717FEE5" w14:textId="6B996E79" w:rsidR="007C5A1C" w:rsidRPr="00736069" w:rsidRDefault="00B41B86" w:rsidP="00846812">
            <w:pPr>
              <w:rPr>
                <w:sz w:val="20"/>
              </w:rPr>
            </w:pPr>
            <w:r w:rsidRPr="00736069">
              <w:rPr>
                <w:sz w:val="20"/>
              </w:rPr>
              <w:t>3 years, unless required earlier</w:t>
            </w:r>
          </w:p>
        </w:tc>
        <w:tc>
          <w:tcPr>
            <w:tcW w:w="2253" w:type="dxa"/>
          </w:tcPr>
          <w:p w14:paraId="1E9A8EEE" w14:textId="5226FB74" w:rsidR="007C5A1C" w:rsidRPr="00736069" w:rsidRDefault="00B41B86" w:rsidP="00846812">
            <w:pPr>
              <w:rPr>
                <w:sz w:val="20"/>
              </w:rPr>
            </w:pPr>
            <w:r w:rsidRPr="00736069">
              <w:rPr>
                <w:sz w:val="20"/>
              </w:rPr>
              <w:t>November 2027</w:t>
            </w:r>
          </w:p>
        </w:tc>
        <w:tc>
          <w:tcPr>
            <w:tcW w:w="2264" w:type="dxa"/>
            <w:shd w:val="clear" w:color="auto" w:fill="auto"/>
          </w:tcPr>
          <w:p w14:paraId="2A69FDFB" w14:textId="3C897F5C" w:rsidR="007C5A1C" w:rsidRPr="00736069" w:rsidRDefault="007C5A1C" w:rsidP="00846812">
            <w:pPr>
              <w:rPr>
                <w:sz w:val="20"/>
              </w:rPr>
            </w:pPr>
          </w:p>
        </w:tc>
        <w:tc>
          <w:tcPr>
            <w:tcW w:w="2245" w:type="dxa"/>
          </w:tcPr>
          <w:p w14:paraId="3F413E88" w14:textId="31376874" w:rsidR="007C5A1C" w:rsidRPr="00C870B4" w:rsidRDefault="00B41B86" w:rsidP="00846812">
            <w:pPr>
              <w:rPr>
                <w:sz w:val="20"/>
              </w:rPr>
            </w:pPr>
            <w:r>
              <w:rPr>
                <w:sz w:val="20"/>
              </w:rPr>
              <w:t>Housing</w:t>
            </w:r>
          </w:p>
        </w:tc>
      </w:tr>
    </w:tbl>
    <w:p w14:paraId="0D8658A7" w14:textId="7E92374F" w:rsidR="00370335" w:rsidRDefault="00370335"/>
    <w:tbl>
      <w:tblPr>
        <w:tblStyle w:val="TableGrid"/>
        <w:tblW w:w="0" w:type="auto"/>
        <w:tblLook w:val="04A0" w:firstRow="1" w:lastRow="0" w:firstColumn="1" w:lastColumn="0" w:noHBand="0" w:noVBand="1"/>
      </w:tblPr>
      <w:tblGrid>
        <w:gridCol w:w="3005"/>
        <w:gridCol w:w="3005"/>
        <w:gridCol w:w="3006"/>
      </w:tblGrid>
      <w:tr w:rsidR="00370335" w14:paraId="7128E381" w14:textId="77777777" w:rsidTr="00846812">
        <w:tc>
          <w:tcPr>
            <w:tcW w:w="9016" w:type="dxa"/>
            <w:gridSpan w:val="3"/>
            <w:shd w:val="clear" w:color="auto" w:fill="D9D9D9" w:themeFill="background1" w:themeFillShade="D9"/>
          </w:tcPr>
          <w:p w14:paraId="3D4A9452" w14:textId="4591BD85" w:rsidR="00370335" w:rsidRDefault="00370335" w:rsidP="00846812">
            <w:r>
              <w:rPr>
                <w:b/>
              </w:rPr>
              <w:t>Document Review and Approvals</w:t>
            </w:r>
          </w:p>
        </w:tc>
      </w:tr>
      <w:tr w:rsidR="00370335" w14:paraId="564354BC" w14:textId="77777777" w:rsidTr="00846812">
        <w:tc>
          <w:tcPr>
            <w:tcW w:w="3005" w:type="dxa"/>
          </w:tcPr>
          <w:p w14:paraId="48ACC446" w14:textId="77777777" w:rsidR="00370335" w:rsidRDefault="00370335" w:rsidP="00846812">
            <w:r>
              <w:rPr>
                <w:b/>
                <w:sz w:val="20"/>
                <w:szCs w:val="20"/>
              </w:rPr>
              <w:t>Name</w:t>
            </w:r>
          </w:p>
        </w:tc>
        <w:tc>
          <w:tcPr>
            <w:tcW w:w="3005" w:type="dxa"/>
          </w:tcPr>
          <w:p w14:paraId="26F28760" w14:textId="3E327F29" w:rsidR="00370335" w:rsidRDefault="00370335" w:rsidP="00846812">
            <w:r>
              <w:rPr>
                <w:b/>
                <w:sz w:val="20"/>
                <w:szCs w:val="20"/>
              </w:rPr>
              <w:t>Action</w:t>
            </w:r>
          </w:p>
        </w:tc>
        <w:tc>
          <w:tcPr>
            <w:tcW w:w="3006" w:type="dxa"/>
          </w:tcPr>
          <w:p w14:paraId="41402E77" w14:textId="7A62E181" w:rsidR="00370335" w:rsidRDefault="00370335" w:rsidP="00846812">
            <w:r>
              <w:rPr>
                <w:b/>
                <w:sz w:val="20"/>
                <w:szCs w:val="20"/>
              </w:rPr>
              <w:t>Date</w:t>
            </w:r>
          </w:p>
        </w:tc>
      </w:tr>
      <w:tr w:rsidR="00C21A4B" w14:paraId="456DACAE" w14:textId="77777777" w:rsidTr="00846812">
        <w:tc>
          <w:tcPr>
            <w:tcW w:w="3005" w:type="dxa"/>
          </w:tcPr>
          <w:p w14:paraId="1EF9DF8C" w14:textId="788BCF56" w:rsidR="00C21A4B" w:rsidRPr="00736069" w:rsidRDefault="00C21A4B" w:rsidP="00846812">
            <w:pPr>
              <w:rPr>
                <w:sz w:val="20"/>
              </w:rPr>
            </w:pPr>
            <w:r w:rsidRPr="00736069">
              <w:rPr>
                <w:sz w:val="20"/>
              </w:rPr>
              <w:t>One</w:t>
            </w:r>
            <w:r w:rsidR="006A3C68" w:rsidRPr="00736069">
              <w:rPr>
                <w:sz w:val="20"/>
              </w:rPr>
              <w:t xml:space="preserve"> </w:t>
            </w:r>
            <w:r w:rsidRPr="00736069">
              <w:rPr>
                <w:sz w:val="20"/>
              </w:rPr>
              <w:t xml:space="preserve">Legal </w:t>
            </w:r>
          </w:p>
        </w:tc>
        <w:tc>
          <w:tcPr>
            <w:tcW w:w="3005" w:type="dxa"/>
          </w:tcPr>
          <w:p w14:paraId="7301BA19" w14:textId="3BDBE519" w:rsidR="00C21A4B" w:rsidRPr="00736069" w:rsidRDefault="00C21A4B" w:rsidP="00846812">
            <w:pPr>
              <w:rPr>
                <w:sz w:val="20"/>
              </w:rPr>
            </w:pPr>
            <w:r w:rsidRPr="00736069">
              <w:rPr>
                <w:sz w:val="20"/>
              </w:rPr>
              <w:t>Consulted</w:t>
            </w:r>
            <w:r w:rsidR="006A3C68" w:rsidRPr="00736069">
              <w:rPr>
                <w:sz w:val="20"/>
              </w:rPr>
              <w:t xml:space="preserve"> </w:t>
            </w:r>
          </w:p>
        </w:tc>
        <w:tc>
          <w:tcPr>
            <w:tcW w:w="3006" w:type="dxa"/>
          </w:tcPr>
          <w:p w14:paraId="244D52C9" w14:textId="7FE7BEB3" w:rsidR="00C21A4B" w:rsidRPr="00736069" w:rsidRDefault="006A3C68" w:rsidP="00846812">
            <w:pPr>
              <w:rPr>
                <w:sz w:val="20"/>
              </w:rPr>
            </w:pPr>
            <w:r w:rsidRPr="00736069">
              <w:rPr>
                <w:sz w:val="20"/>
              </w:rPr>
              <w:t>September</w:t>
            </w:r>
            <w:r w:rsidR="00D0587A" w:rsidRPr="00736069">
              <w:rPr>
                <w:sz w:val="20"/>
              </w:rPr>
              <w:t xml:space="preserve"> 2024</w:t>
            </w:r>
          </w:p>
        </w:tc>
      </w:tr>
      <w:tr w:rsidR="00370335" w14:paraId="24B21429" w14:textId="77777777" w:rsidTr="00846812">
        <w:tc>
          <w:tcPr>
            <w:tcW w:w="3005" w:type="dxa"/>
          </w:tcPr>
          <w:p w14:paraId="43672EF5" w14:textId="332B40D7" w:rsidR="00370335" w:rsidRPr="00736069" w:rsidRDefault="00D0587A" w:rsidP="00846812">
            <w:pPr>
              <w:rPr>
                <w:sz w:val="20"/>
              </w:rPr>
            </w:pPr>
            <w:r w:rsidRPr="00736069">
              <w:rPr>
                <w:sz w:val="20"/>
              </w:rPr>
              <w:t>Housing Services Managers</w:t>
            </w:r>
          </w:p>
        </w:tc>
        <w:tc>
          <w:tcPr>
            <w:tcW w:w="3005" w:type="dxa"/>
          </w:tcPr>
          <w:p w14:paraId="68814C89" w14:textId="612C2EC1" w:rsidR="00370335" w:rsidRPr="00736069" w:rsidRDefault="00D1732A" w:rsidP="00846812">
            <w:pPr>
              <w:rPr>
                <w:sz w:val="20"/>
              </w:rPr>
            </w:pPr>
            <w:r w:rsidRPr="00736069">
              <w:rPr>
                <w:sz w:val="20"/>
              </w:rPr>
              <w:t>Consulted</w:t>
            </w:r>
          </w:p>
        </w:tc>
        <w:tc>
          <w:tcPr>
            <w:tcW w:w="3006" w:type="dxa"/>
          </w:tcPr>
          <w:p w14:paraId="43621450" w14:textId="24E61BFD" w:rsidR="00370335" w:rsidRPr="00736069" w:rsidRDefault="00D0587A" w:rsidP="00846812">
            <w:pPr>
              <w:rPr>
                <w:sz w:val="20"/>
              </w:rPr>
            </w:pPr>
            <w:r w:rsidRPr="00736069">
              <w:rPr>
                <w:sz w:val="20"/>
              </w:rPr>
              <w:t>Early Oct</w:t>
            </w:r>
            <w:r w:rsidR="00C21A4B" w:rsidRPr="00736069">
              <w:rPr>
                <w:sz w:val="20"/>
              </w:rPr>
              <w:t xml:space="preserve"> 2024</w:t>
            </w:r>
          </w:p>
        </w:tc>
      </w:tr>
      <w:tr w:rsidR="00B41B86" w14:paraId="7C174203" w14:textId="77777777" w:rsidTr="00846812">
        <w:tc>
          <w:tcPr>
            <w:tcW w:w="3005" w:type="dxa"/>
          </w:tcPr>
          <w:p w14:paraId="002BB7D7" w14:textId="519FB772" w:rsidR="00B41B86" w:rsidRPr="00736069" w:rsidRDefault="00C21A4B" w:rsidP="00846812">
            <w:pPr>
              <w:rPr>
                <w:sz w:val="20"/>
              </w:rPr>
            </w:pPr>
            <w:r w:rsidRPr="00736069">
              <w:rPr>
                <w:sz w:val="20"/>
              </w:rPr>
              <w:t>Tenant Policy Consultation Group</w:t>
            </w:r>
          </w:p>
        </w:tc>
        <w:tc>
          <w:tcPr>
            <w:tcW w:w="3005" w:type="dxa"/>
          </w:tcPr>
          <w:p w14:paraId="2838660F" w14:textId="42B3374B" w:rsidR="00B41B86" w:rsidRPr="00736069" w:rsidRDefault="00C21A4B" w:rsidP="00846812">
            <w:pPr>
              <w:rPr>
                <w:sz w:val="20"/>
              </w:rPr>
            </w:pPr>
            <w:r w:rsidRPr="00736069">
              <w:rPr>
                <w:sz w:val="20"/>
              </w:rPr>
              <w:t>Consulted</w:t>
            </w:r>
          </w:p>
        </w:tc>
        <w:tc>
          <w:tcPr>
            <w:tcW w:w="3006" w:type="dxa"/>
          </w:tcPr>
          <w:p w14:paraId="16B014B6" w14:textId="42F98A7F" w:rsidR="00B41B86" w:rsidRPr="00736069" w:rsidRDefault="00D0587A" w:rsidP="00846812">
            <w:pPr>
              <w:rPr>
                <w:sz w:val="20"/>
              </w:rPr>
            </w:pPr>
            <w:r w:rsidRPr="00736069">
              <w:rPr>
                <w:sz w:val="20"/>
              </w:rPr>
              <w:t>Mid</w:t>
            </w:r>
            <w:r w:rsidR="00C21A4B" w:rsidRPr="00736069">
              <w:rPr>
                <w:sz w:val="20"/>
              </w:rPr>
              <w:t xml:space="preserve"> Oct 2024</w:t>
            </w:r>
          </w:p>
        </w:tc>
      </w:tr>
      <w:tr w:rsidR="00B41B86" w14:paraId="504259ED" w14:textId="77777777" w:rsidTr="00846812">
        <w:tc>
          <w:tcPr>
            <w:tcW w:w="3005" w:type="dxa"/>
          </w:tcPr>
          <w:p w14:paraId="70E0CBDA" w14:textId="77777777" w:rsidR="00B41B86" w:rsidRDefault="00B41B86" w:rsidP="00846812">
            <w:pPr>
              <w:rPr>
                <w:sz w:val="20"/>
              </w:rPr>
            </w:pPr>
          </w:p>
        </w:tc>
        <w:tc>
          <w:tcPr>
            <w:tcW w:w="3005" w:type="dxa"/>
          </w:tcPr>
          <w:p w14:paraId="7AF953C4" w14:textId="77777777" w:rsidR="00B41B86" w:rsidRDefault="00B41B86" w:rsidP="00846812">
            <w:pPr>
              <w:rPr>
                <w:sz w:val="20"/>
              </w:rPr>
            </w:pPr>
          </w:p>
        </w:tc>
        <w:tc>
          <w:tcPr>
            <w:tcW w:w="3006" w:type="dxa"/>
          </w:tcPr>
          <w:p w14:paraId="4A0F83DC" w14:textId="77777777" w:rsidR="00B41B86" w:rsidRDefault="00B41B86" w:rsidP="00846812">
            <w:pPr>
              <w:rPr>
                <w:sz w:val="20"/>
              </w:rPr>
            </w:pPr>
          </w:p>
        </w:tc>
      </w:tr>
      <w:tr w:rsidR="00B41B86" w14:paraId="55A56222" w14:textId="77777777" w:rsidTr="00846812">
        <w:tc>
          <w:tcPr>
            <w:tcW w:w="3005" w:type="dxa"/>
          </w:tcPr>
          <w:p w14:paraId="004C3603" w14:textId="77777777" w:rsidR="00B41B86" w:rsidRDefault="00B41B86" w:rsidP="00846812">
            <w:pPr>
              <w:rPr>
                <w:sz w:val="20"/>
              </w:rPr>
            </w:pPr>
          </w:p>
        </w:tc>
        <w:tc>
          <w:tcPr>
            <w:tcW w:w="3005" w:type="dxa"/>
          </w:tcPr>
          <w:p w14:paraId="06C0CF82" w14:textId="77777777" w:rsidR="00B41B86" w:rsidRDefault="00B41B86" w:rsidP="00846812">
            <w:pPr>
              <w:rPr>
                <w:sz w:val="20"/>
              </w:rPr>
            </w:pPr>
          </w:p>
        </w:tc>
        <w:tc>
          <w:tcPr>
            <w:tcW w:w="3006" w:type="dxa"/>
          </w:tcPr>
          <w:p w14:paraId="2DE56D78" w14:textId="77777777" w:rsidR="00B41B86" w:rsidRDefault="00B41B86" w:rsidP="00846812">
            <w:pPr>
              <w:rPr>
                <w:sz w:val="20"/>
              </w:rPr>
            </w:pPr>
          </w:p>
        </w:tc>
      </w:tr>
    </w:tbl>
    <w:p w14:paraId="4A60CE88" w14:textId="77777777" w:rsidR="00370335" w:rsidRDefault="00370335"/>
    <w:p w14:paraId="71B7B07F" w14:textId="5CE30D69" w:rsidR="00F07987" w:rsidRDefault="00F07987">
      <w:r>
        <w:br w:type="page"/>
      </w:r>
    </w:p>
    <w:p w14:paraId="21000674" w14:textId="77777777" w:rsidR="00EA3A9B" w:rsidRDefault="00DE569E" w:rsidP="00DE569E">
      <w:pPr>
        <w:pStyle w:val="Heading1"/>
      </w:pPr>
      <w:r>
        <w:lastRenderedPageBreak/>
        <w:t>introduction</w:t>
      </w:r>
    </w:p>
    <w:p w14:paraId="19045B72" w14:textId="66E4BF21" w:rsidR="00DE569E" w:rsidRDefault="008F1228" w:rsidP="008F1228">
      <w:pPr>
        <w:pStyle w:val="Heading2"/>
      </w:pPr>
      <w:r>
        <w:t>Purpose and scope</w:t>
      </w:r>
    </w:p>
    <w:p w14:paraId="0CC73317" w14:textId="752F79BB" w:rsidR="004129CF" w:rsidRDefault="004129CF" w:rsidP="004F5781">
      <w:pPr>
        <w:pStyle w:val="Heading3"/>
      </w:pPr>
      <w:r>
        <w:t>Stroud District Council</w:t>
      </w:r>
      <w:r w:rsidR="00DA5F42">
        <w:t xml:space="preserve"> (SDC)</w:t>
      </w:r>
      <w:r>
        <w:t xml:space="preserve"> prioritise</w:t>
      </w:r>
      <w:r w:rsidR="00736069">
        <w:t>s</w:t>
      </w:r>
      <w:r>
        <w:t xml:space="preserve"> the safety and we</w:t>
      </w:r>
      <w:r w:rsidR="00736069">
        <w:t>llbeing of the residents within the homes it owns and manages.</w:t>
      </w:r>
      <w:r>
        <w:t xml:space="preserve"> </w:t>
      </w:r>
      <w:r w:rsidR="00DA5F42">
        <w:t>The Council</w:t>
      </w:r>
      <w:r>
        <w:t xml:space="preserve"> respect</w:t>
      </w:r>
      <w:r w:rsidR="00DA5F42">
        <w:t>s</w:t>
      </w:r>
      <w:r>
        <w:t xml:space="preserve"> the privacy of residents and their right not to be disturbed unnecessarily or at inconvenient times, however, </w:t>
      </w:r>
      <w:r w:rsidRPr="004129CF">
        <w:t>there</w:t>
      </w:r>
      <w:r>
        <w:t xml:space="preserve"> are circumstances that will require the Council, or contractors on the Councils behalf, to access</w:t>
      </w:r>
      <w:r w:rsidR="00CD1163">
        <w:t xml:space="preserve"> </w:t>
      </w:r>
      <w:r w:rsidR="00DA5F42">
        <w:t>properties it owns or manages.</w:t>
      </w:r>
    </w:p>
    <w:p w14:paraId="119D4837" w14:textId="0189E3E8" w:rsidR="00864D8A" w:rsidRDefault="008F1228" w:rsidP="004F5781">
      <w:pPr>
        <w:pStyle w:val="Heading3"/>
      </w:pPr>
      <w:r w:rsidRPr="008F1228">
        <w:t xml:space="preserve">This </w:t>
      </w:r>
      <w:r w:rsidR="00F82282">
        <w:t>Gaining Access</w:t>
      </w:r>
      <w:r w:rsidRPr="008F1228">
        <w:t xml:space="preserve"> Policy </w:t>
      </w:r>
      <w:r w:rsidR="00F82282">
        <w:t xml:space="preserve">outlines </w:t>
      </w:r>
      <w:r w:rsidR="00DA48F7">
        <w:t xml:space="preserve">the approach </w:t>
      </w:r>
      <w:r w:rsidR="00DA5F42">
        <w:t>the Council will</w:t>
      </w:r>
      <w:r w:rsidR="00DA48F7">
        <w:t xml:space="preserve"> use to </w:t>
      </w:r>
      <w:r w:rsidR="00B70399">
        <w:t>manage and enforce</w:t>
      </w:r>
      <w:r w:rsidR="00DA48F7">
        <w:t xml:space="preserve"> access to </w:t>
      </w:r>
      <w:r w:rsidR="00DA5F42">
        <w:t>its</w:t>
      </w:r>
      <w:r w:rsidR="00DA48F7">
        <w:t xml:space="preserve"> housing stock when required. SDC have legal, regulatory and contractual duties as a social landlord. These include ensuring our social housing properties meet national legal standards in terms of conditions, as well as ensuring the safety of all </w:t>
      </w:r>
      <w:r w:rsidR="0086558D">
        <w:t>residents.</w:t>
      </w:r>
      <w:r w:rsidR="00DA48F7">
        <w:t xml:space="preserve"> To enable SDC to meet these duties it is vital that there are no barriers to accessing its </w:t>
      </w:r>
      <w:r w:rsidR="00D0587A">
        <w:t>residents’</w:t>
      </w:r>
      <w:r w:rsidR="00DA48F7">
        <w:t xml:space="preserve"> homes when necessary. </w:t>
      </w:r>
      <w:r w:rsidR="00864D8A">
        <w:t xml:space="preserve">Access refusals have a financial and resource cost to the housing service, and ultimately divert resources away from the service that is provided to </w:t>
      </w:r>
      <w:r w:rsidR="0086558D">
        <w:t>residents</w:t>
      </w:r>
      <w:r w:rsidR="00864D8A">
        <w:t xml:space="preserve">. </w:t>
      </w:r>
    </w:p>
    <w:p w14:paraId="37F6EDA0" w14:textId="1AC30541" w:rsidR="008F1228" w:rsidRDefault="00F82282" w:rsidP="004F5781">
      <w:pPr>
        <w:pStyle w:val="Heading3"/>
      </w:pPr>
      <w:r>
        <w:t>T</w:t>
      </w:r>
      <w:r w:rsidR="005E7E23">
        <w:t>h</w:t>
      </w:r>
      <w:r>
        <w:t>e Policy cover</w:t>
      </w:r>
      <w:r w:rsidR="00F4709E">
        <w:t xml:space="preserve">s situations when SDC needs to access a home, resident responsibilities regarding access, </w:t>
      </w:r>
      <w:r w:rsidR="00864D8A">
        <w:t xml:space="preserve">and </w:t>
      </w:r>
      <w:r w:rsidR="00F4709E">
        <w:t>the process SDC will follow if a resident does not allow access.</w:t>
      </w:r>
      <w:r w:rsidR="00864D8A" w:rsidRPr="00864D8A">
        <w:t xml:space="preserve"> </w:t>
      </w:r>
      <w:r w:rsidR="00864D8A">
        <w:t>This Policy does not relate to obtaining access to properties as part of the repossession</w:t>
      </w:r>
      <w:r w:rsidR="005E7E23">
        <w:t xml:space="preserve"> or abandonment</w:t>
      </w:r>
      <w:r w:rsidR="00864D8A">
        <w:t xml:space="preserve"> process.</w:t>
      </w:r>
    </w:p>
    <w:p w14:paraId="33C183DA" w14:textId="500A835E" w:rsidR="004A583C" w:rsidRDefault="004A583C" w:rsidP="004F5781">
      <w:pPr>
        <w:pStyle w:val="Heading3"/>
      </w:pPr>
      <w:r>
        <w:t>The specific objectives of the Policy are:</w:t>
      </w:r>
    </w:p>
    <w:p w14:paraId="4B6A89B6" w14:textId="5EBCEF5C" w:rsidR="004A583C" w:rsidRPr="006106E4" w:rsidRDefault="004A583C" w:rsidP="00E017D0">
      <w:pPr>
        <w:pStyle w:val="Heading50"/>
        <w:numPr>
          <w:ilvl w:val="1"/>
          <w:numId w:val="19"/>
        </w:numPr>
        <w:ind w:left="1134"/>
      </w:pPr>
      <w:r>
        <w:t xml:space="preserve">To ensure </w:t>
      </w:r>
      <w:r w:rsidR="007129D3">
        <w:t xml:space="preserve">a </w:t>
      </w:r>
      <w:r>
        <w:t>robust escalation process is in place to provide the</w:t>
      </w:r>
      <w:r w:rsidR="0086558D">
        <w:t xml:space="preserve"> resident</w:t>
      </w:r>
      <w:r>
        <w:t xml:space="preserve"> with the opportunity to give access at a mutually convenient </w:t>
      </w:r>
      <w:r w:rsidRPr="006106E4">
        <w:t>time</w:t>
      </w:r>
      <w:r w:rsidR="00C21A4B">
        <w:t>.</w:t>
      </w:r>
    </w:p>
    <w:p w14:paraId="7FE715C4" w14:textId="5A62F333" w:rsidR="004A583C" w:rsidRPr="004A583C" w:rsidRDefault="004A583C" w:rsidP="00E017D0">
      <w:pPr>
        <w:pStyle w:val="Heading50"/>
        <w:numPr>
          <w:ilvl w:val="1"/>
          <w:numId w:val="19"/>
        </w:numPr>
        <w:ind w:left="1134"/>
      </w:pPr>
      <w:r>
        <w:t xml:space="preserve">To provide a fair and transparent </w:t>
      </w:r>
      <w:r w:rsidR="00C21A4B">
        <w:t xml:space="preserve">enforcement </w:t>
      </w:r>
      <w:r>
        <w:t xml:space="preserve">process </w:t>
      </w:r>
      <w:r w:rsidR="00C21A4B">
        <w:t xml:space="preserve">for gaining access to a property where the </w:t>
      </w:r>
      <w:r w:rsidR="0086558D">
        <w:t xml:space="preserve">resident </w:t>
      </w:r>
      <w:r w:rsidR="00C21A4B">
        <w:t>has</w:t>
      </w:r>
      <w:r>
        <w:t xml:space="preserve"> not agreed to give </w:t>
      </w:r>
      <w:r w:rsidR="00864D8A">
        <w:t>access or</w:t>
      </w:r>
      <w:r>
        <w:t xml:space="preserve"> has ignored contact requesting access.</w:t>
      </w:r>
    </w:p>
    <w:p w14:paraId="4FA31CC6" w14:textId="6BAD043E" w:rsidR="00EB1A08" w:rsidRPr="00C21240" w:rsidRDefault="00EB1A08" w:rsidP="00EB1A08">
      <w:pPr>
        <w:pStyle w:val="Heading2"/>
      </w:pPr>
      <w:r w:rsidRPr="00C21240">
        <w:t>Terms and definitions</w:t>
      </w:r>
    </w:p>
    <w:p w14:paraId="53E28EE3" w14:textId="084653D4" w:rsidR="00C21240" w:rsidRPr="00C21240" w:rsidRDefault="00C21240" w:rsidP="004F5781">
      <w:pPr>
        <w:pStyle w:val="Heading3"/>
      </w:pPr>
      <w:r w:rsidRPr="00C21240">
        <w:rPr>
          <w:b/>
          <w:bCs/>
        </w:rPr>
        <w:t>SDC</w:t>
      </w:r>
      <w:r w:rsidRPr="00C21240">
        <w:t xml:space="preserve"> means Stroud District Council and for the purposes of this Policy where reference is made to SDC in regard to access, this includes any agency or individual acting on SDC’s behalf. </w:t>
      </w:r>
    </w:p>
    <w:p w14:paraId="5734ECF2" w14:textId="5AAB28E0" w:rsidR="00EA3A9B" w:rsidRDefault="00A936C7" w:rsidP="00EA3A9B">
      <w:pPr>
        <w:pStyle w:val="Heading1"/>
      </w:pPr>
      <w:r>
        <w:t xml:space="preserve">SITUATIONS WHERE SDC REQUIRE </w:t>
      </w:r>
      <w:r w:rsidR="00F82282">
        <w:t xml:space="preserve">access </w:t>
      </w:r>
    </w:p>
    <w:p w14:paraId="2BF68080" w14:textId="5BA21181" w:rsidR="00C21240" w:rsidRDefault="00C21240" w:rsidP="00A936C7">
      <w:pPr>
        <w:pStyle w:val="Heading2"/>
      </w:pPr>
      <w:r>
        <w:t xml:space="preserve">Pre-planned </w:t>
      </w:r>
      <w:r w:rsidR="00812323">
        <w:t>a</w:t>
      </w:r>
      <w:r>
        <w:t>ccess</w:t>
      </w:r>
    </w:p>
    <w:p w14:paraId="20BBB04A" w14:textId="65CA3668" w:rsidR="00C21240" w:rsidRPr="008025F6" w:rsidRDefault="00C21240" w:rsidP="004F5781">
      <w:pPr>
        <w:pStyle w:val="Heading3"/>
      </w:pPr>
      <w:r w:rsidRPr="008025F6">
        <w:t>There are various reasons why SDC would need access to properties it owns</w:t>
      </w:r>
      <w:r w:rsidR="0086558D">
        <w:t xml:space="preserve"> </w:t>
      </w:r>
      <w:r w:rsidRPr="008025F6">
        <w:t>or manages on a pre-planned basis. Non exhaustive examples include:</w:t>
      </w:r>
    </w:p>
    <w:p w14:paraId="0482B62B" w14:textId="5303C78D" w:rsidR="006B2648" w:rsidRDefault="006B2648" w:rsidP="00E017D0">
      <w:pPr>
        <w:pStyle w:val="Heading50"/>
        <w:numPr>
          <w:ilvl w:val="1"/>
          <w:numId w:val="19"/>
        </w:numPr>
        <w:ind w:left="1134"/>
      </w:pPr>
      <w:r>
        <w:t xml:space="preserve">Access to carry out repairs which are the </w:t>
      </w:r>
      <w:r w:rsidR="00DA5F42">
        <w:t>landlord’s</w:t>
      </w:r>
      <w:r>
        <w:t xml:space="preserve"> responsibility to complete.</w:t>
      </w:r>
    </w:p>
    <w:p w14:paraId="7BC27EE7" w14:textId="69401B5D" w:rsidR="006B2648" w:rsidRDefault="006B2648" w:rsidP="00E017D0">
      <w:pPr>
        <w:pStyle w:val="Heading50"/>
        <w:numPr>
          <w:ilvl w:val="1"/>
          <w:numId w:val="19"/>
        </w:numPr>
        <w:ind w:left="1134"/>
      </w:pPr>
      <w:r>
        <w:t xml:space="preserve">Access to carry out safety checks to ensure </w:t>
      </w:r>
      <w:r w:rsidR="00F3418C">
        <w:t>SDC</w:t>
      </w:r>
      <w:r>
        <w:t xml:space="preserve"> meets its legal compliance obligations, for example, to carry out annual gas safety checks in line with Landlord Gas Safety Requirements. </w:t>
      </w:r>
    </w:p>
    <w:p w14:paraId="2CC12F24" w14:textId="7FCDE155" w:rsidR="006B2648" w:rsidRDefault="006B2648" w:rsidP="00E017D0">
      <w:pPr>
        <w:pStyle w:val="Heading50"/>
        <w:numPr>
          <w:ilvl w:val="1"/>
          <w:numId w:val="19"/>
        </w:numPr>
        <w:ind w:left="1134"/>
      </w:pPr>
      <w:r>
        <w:lastRenderedPageBreak/>
        <w:t>Access to assess the general condition of properties, or for the presence of known hazards.</w:t>
      </w:r>
    </w:p>
    <w:p w14:paraId="7DE975F9" w14:textId="4DB035EB" w:rsidR="006B2648" w:rsidRDefault="006B2648" w:rsidP="00E017D0">
      <w:pPr>
        <w:pStyle w:val="Heading50"/>
        <w:numPr>
          <w:ilvl w:val="1"/>
          <w:numId w:val="19"/>
        </w:numPr>
        <w:ind w:left="1134"/>
      </w:pPr>
      <w:r>
        <w:t>Access to assess the need for, or to carry out investment works and property improvements to eliminate hazards or maintain the decency of the home.</w:t>
      </w:r>
    </w:p>
    <w:p w14:paraId="2A3D3518" w14:textId="63016FEC" w:rsidR="006B2648" w:rsidRDefault="006B2648" w:rsidP="00E017D0">
      <w:pPr>
        <w:pStyle w:val="ListParagraph"/>
        <w:numPr>
          <w:ilvl w:val="0"/>
          <w:numId w:val="15"/>
        </w:numPr>
        <w:ind w:left="1134"/>
      </w:pPr>
      <w:r>
        <w:t>Access to carry out tenancy audits to assess both the condition of the property and that the needs of tenants are being met effectively.</w:t>
      </w:r>
    </w:p>
    <w:p w14:paraId="4281EB7B" w14:textId="5FF18000" w:rsidR="008025F6" w:rsidRDefault="006B2648" w:rsidP="004F5781">
      <w:pPr>
        <w:pStyle w:val="Heading3"/>
      </w:pPr>
      <w:r>
        <w:t xml:space="preserve">For each of the </w:t>
      </w:r>
      <w:r w:rsidR="00441F80">
        <w:t xml:space="preserve">pre-planned access </w:t>
      </w:r>
      <w:r>
        <w:t xml:space="preserve">examples above, SDC </w:t>
      </w:r>
      <w:r w:rsidR="00E956A7">
        <w:t>will attempt to secure access by arrangement with the occupier at times that are mutually agreeable and with plenty of notice.</w:t>
      </w:r>
      <w:r w:rsidR="008025F6">
        <w:t xml:space="preserve"> The methods used </w:t>
      </w:r>
      <w:r w:rsidR="00441F80">
        <w:t xml:space="preserve">to arrange pre-planned access </w:t>
      </w:r>
      <w:r w:rsidR="008025F6">
        <w:t xml:space="preserve">include: </w:t>
      </w:r>
    </w:p>
    <w:p w14:paraId="11D431ED" w14:textId="759C1E97" w:rsidR="00812323" w:rsidRDefault="00812323" w:rsidP="00E017D0">
      <w:pPr>
        <w:pStyle w:val="Heading50"/>
        <w:numPr>
          <w:ilvl w:val="1"/>
          <w:numId w:val="19"/>
        </w:numPr>
        <w:ind w:left="1134"/>
      </w:pPr>
      <w:r>
        <w:t>Writing to the occupier in advance outlining why access is required and providing a proposed date, including details of how to contact SDC to make an alternative appointment i</w:t>
      </w:r>
      <w:r w:rsidR="007129D3">
        <w:t>f</w:t>
      </w:r>
      <w:r>
        <w:t xml:space="preserve"> this is not convenient. </w:t>
      </w:r>
    </w:p>
    <w:p w14:paraId="0DEF905F" w14:textId="77777777" w:rsidR="00F3418C" w:rsidRDefault="00812323" w:rsidP="00F3418C">
      <w:pPr>
        <w:pStyle w:val="Heading50"/>
        <w:numPr>
          <w:ilvl w:val="1"/>
          <w:numId w:val="19"/>
        </w:numPr>
        <w:ind w:left="1134"/>
      </w:pPr>
      <w:r>
        <w:t>Contact by telephone</w:t>
      </w:r>
      <w:r w:rsidR="005E7E23">
        <w:t>, text message</w:t>
      </w:r>
      <w:r>
        <w:t xml:space="preserve"> or email to secure an appointment date</w:t>
      </w:r>
      <w:r w:rsidR="008025F6">
        <w:t>.</w:t>
      </w:r>
    </w:p>
    <w:p w14:paraId="321E87B2" w14:textId="62F9383E" w:rsidR="008025F6" w:rsidRDefault="00736069" w:rsidP="00F3418C">
      <w:pPr>
        <w:pStyle w:val="Heading50"/>
        <w:numPr>
          <w:ilvl w:val="1"/>
          <w:numId w:val="19"/>
        </w:numPr>
        <w:ind w:left="1134"/>
      </w:pPr>
      <w:r>
        <w:t>A h</w:t>
      </w:r>
      <w:r w:rsidR="008025F6">
        <w:t>ome visit to book an appointment date.</w:t>
      </w:r>
    </w:p>
    <w:p w14:paraId="59701144" w14:textId="5906D2F1" w:rsidR="00C21240" w:rsidRPr="00C21240" w:rsidRDefault="008025F6" w:rsidP="008025F6">
      <w:pPr>
        <w:pStyle w:val="Heading2"/>
      </w:pPr>
      <w:r>
        <w:t>Emergency Access</w:t>
      </w:r>
    </w:p>
    <w:p w14:paraId="0219C284" w14:textId="37C2E125" w:rsidR="00A936C7" w:rsidRDefault="003B1986" w:rsidP="004F5781">
      <w:pPr>
        <w:pStyle w:val="Heading3"/>
      </w:pPr>
      <w:r>
        <w:t xml:space="preserve">In some circumstances, </w:t>
      </w:r>
      <w:r w:rsidR="00F3418C">
        <w:t>SDC</w:t>
      </w:r>
      <w:r>
        <w:t xml:space="preserve"> may be required to gain immediate access to </w:t>
      </w:r>
      <w:r w:rsidR="00ED7ED2">
        <w:t>tenants’</w:t>
      </w:r>
      <w:r>
        <w:t xml:space="preserve"> homes where there is reasonable assumption that there is a threat to the health and safety of individuals</w:t>
      </w:r>
      <w:r w:rsidR="0019315E">
        <w:t>,</w:t>
      </w:r>
      <w:r>
        <w:t xml:space="preserve"> or </w:t>
      </w:r>
      <w:r w:rsidR="0019315E">
        <w:t xml:space="preserve">when </w:t>
      </w:r>
      <w:r>
        <w:t xml:space="preserve">failure to act may result in property damage. </w:t>
      </w:r>
    </w:p>
    <w:p w14:paraId="42976FA8" w14:textId="64ACF3D7" w:rsidR="003B1986" w:rsidRDefault="003B1986" w:rsidP="004F5781">
      <w:pPr>
        <w:pStyle w:val="Heading3"/>
      </w:pPr>
      <w:r>
        <w:t xml:space="preserve">SDC will only ever </w:t>
      </w:r>
      <w:r w:rsidR="00ED7ED2">
        <w:t>g</w:t>
      </w:r>
      <w:r>
        <w:t xml:space="preserve">ain immediate </w:t>
      </w:r>
      <w:r w:rsidR="00736069">
        <w:t xml:space="preserve">emergency </w:t>
      </w:r>
      <w:r>
        <w:t xml:space="preserve">access to a property in extreme circumstances such as a flood, gas escape or suspected medical emergency. In circumstances where the Council gain access in this way, </w:t>
      </w:r>
      <w:r w:rsidR="00736069">
        <w:t>the following steps will be taken:</w:t>
      </w:r>
    </w:p>
    <w:p w14:paraId="285D2FD5" w14:textId="0B823281" w:rsidR="00046685" w:rsidRPr="00046685" w:rsidRDefault="00046685" w:rsidP="00E017D0">
      <w:pPr>
        <w:pStyle w:val="Heading50"/>
        <w:numPr>
          <w:ilvl w:val="1"/>
          <w:numId w:val="19"/>
        </w:numPr>
        <w:ind w:left="1134"/>
      </w:pPr>
      <w:r w:rsidRPr="00046685">
        <w:t xml:space="preserve">Attempt to </w:t>
      </w:r>
      <w:proofErr w:type="gramStart"/>
      <w:r w:rsidRPr="00046685">
        <w:t>make contact with</w:t>
      </w:r>
      <w:proofErr w:type="gramEnd"/>
      <w:r w:rsidRPr="00046685">
        <w:t xml:space="preserve"> the tenant prior to emergency entry</w:t>
      </w:r>
      <w:r w:rsidR="00736069">
        <w:t>.</w:t>
      </w:r>
    </w:p>
    <w:p w14:paraId="2B148986" w14:textId="41ECBA58" w:rsidR="003B1986" w:rsidRPr="00046685" w:rsidRDefault="00046685" w:rsidP="00E017D0">
      <w:pPr>
        <w:pStyle w:val="Heading50"/>
        <w:numPr>
          <w:ilvl w:val="1"/>
          <w:numId w:val="19"/>
        </w:numPr>
        <w:ind w:left="1134"/>
      </w:pPr>
      <w:r w:rsidRPr="00046685">
        <w:t>If SDC has been unable to contact the tenant prior to emergency entry, SDC will a</w:t>
      </w:r>
      <w:r w:rsidR="003B1986" w:rsidRPr="00046685">
        <w:t>ttempt to follow up with the tenants to inform them of the actions taken and reasons why</w:t>
      </w:r>
      <w:r w:rsidRPr="00046685">
        <w:t>.</w:t>
      </w:r>
    </w:p>
    <w:p w14:paraId="4DECB012" w14:textId="7617F251" w:rsidR="003B1986" w:rsidRPr="00046685" w:rsidRDefault="00046685" w:rsidP="00E017D0">
      <w:pPr>
        <w:pStyle w:val="Heading50"/>
        <w:numPr>
          <w:ilvl w:val="1"/>
          <w:numId w:val="19"/>
        </w:numPr>
        <w:ind w:left="1134"/>
      </w:pPr>
      <w:r w:rsidRPr="00046685">
        <w:t>SDC will e</w:t>
      </w:r>
      <w:r w:rsidR="003B1986" w:rsidRPr="00046685">
        <w:t xml:space="preserve">nsure the property is left safe and secure. This may involve carrying out a lock change. In this case, the Council will endeavour to contact the tenant or leaseholder </w:t>
      </w:r>
      <w:r w:rsidRPr="00046685">
        <w:t>to inform them</w:t>
      </w:r>
      <w:r w:rsidR="003B1986" w:rsidRPr="00046685">
        <w:t xml:space="preserve"> how they can obtain a replacement key.</w:t>
      </w:r>
    </w:p>
    <w:p w14:paraId="0C2B8CF1" w14:textId="24C98CEB" w:rsidR="003B1986" w:rsidRPr="00046685" w:rsidRDefault="00046685" w:rsidP="00E017D0">
      <w:pPr>
        <w:pStyle w:val="Heading50"/>
        <w:numPr>
          <w:ilvl w:val="1"/>
          <w:numId w:val="19"/>
        </w:numPr>
        <w:ind w:left="1134"/>
      </w:pPr>
      <w:r w:rsidRPr="00046685">
        <w:t>SDC may t</w:t>
      </w:r>
      <w:r w:rsidR="003B1986" w:rsidRPr="00046685">
        <w:t>ake photographic evidence of the property by means of an inventory and/or as evidence for legal action that may follow.</w:t>
      </w:r>
    </w:p>
    <w:p w14:paraId="751B9A82" w14:textId="1425FAE4" w:rsidR="00222F59" w:rsidRDefault="003B1986" w:rsidP="004F5781">
      <w:pPr>
        <w:pStyle w:val="Heading3"/>
      </w:pPr>
      <w:r>
        <w:t>If the Council is required to gain access in an emergency situation to remedy a fault that is found to be of the tenants making, the Council reserves the right to recharge the occupants for all works undertaken.</w:t>
      </w:r>
    </w:p>
    <w:p w14:paraId="7E6C188E" w14:textId="77777777" w:rsidR="00E956A7" w:rsidRDefault="00E956A7" w:rsidP="00E956A7"/>
    <w:p w14:paraId="0535C057" w14:textId="77777777" w:rsidR="00E956A7" w:rsidRDefault="00E956A7" w:rsidP="00E956A7"/>
    <w:p w14:paraId="641B9E2A" w14:textId="4131C977" w:rsidR="00EA3A9B" w:rsidRDefault="00F82282" w:rsidP="00EA3A9B">
      <w:pPr>
        <w:pStyle w:val="Heading1"/>
      </w:pPr>
      <w:r>
        <w:lastRenderedPageBreak/>
        <w:t>residents responsibilities</w:t>
      </w:r>
    </w:p>
    <w:p w14:paraId="20671627" w14:textId="0E317D3C" w:rsidR="007129D3" w:rsidRDefault="007129D3" w:rsidP="007129D3">
      <w:pPr>
        <w:pStyle w:val="Heading2"/>
      </w:pPr>
      <w:r>
        <w:t>Allowing access</w:t>
      </w:r>
    </w:p>
    <w:p w14:paraId="4957FC3A" w14:textId="1399A755" w:rsidR="00A732DE" w:rsidRPr="00A732DE" w:rsidRDefault="00A732DE" w:rsidP="004F5781">
      <w:pPr>
        <w:pStyle w:val="Heading3"/>
      </w:pPr>
      <w:r>
        <w:t>Residents must allow SDC employees, or contractors employed by SDC, into their home when requested</w:t>
      </w:r>
      <w:r w:rsidR="005960C4">
        <w:t>,</w:t>
      </w:r>
      <w:r>
        <w:t xml:space="preserve"> or if the resident requests a repair or inspection. SDC staff and contractors will always show identification when visiting a </w:t>
      </w:r>
      <w:r w:rsidR="006A3C68">
        <w:t>resident’s</w:t>
      </w:r>
      <w:r>
        <w:t xml:space="preserve"> home. </w:t>
      </w:r>
    </w:p>
    <w:p w14:paraId="3D0ECAFD" w14:textId="73BD0D9D" w:rsidR="00EB1A08" w:rsidRDefault="00222F59" w:rsidP="004F5781">
      <w:pPr>
        <w:pStyle w:val="Heading3"/>
      </w:pPr>
      <w:r>
        <w:t xml:space="preserve">A responsible adult (over the age of 18), must be present to allow </w:t>
      </w:r>
      <w:r w:rsidR="00DA5F42">
        <w:t>SDC</w:t>
      </w:r>
      <w:r>
        <w:t xml:space="preserve"> access. Where this is not the </w:t>
      </w:r>
      <w:r w:rsidR="006A3C68">
        <w:t>case,</w:t>
      </w:r>
      <w:r>
        <w:t xml:space="preserve"> we will record this as no access.</w:t>
      </w:r>
    </w:p>
    <w:p w14:paraId="562F9B46" w14:textId="77777777" w:rsidR="00222F59" w:rsidRPr="004F5781" w:rsidRDefault="00222F59" w:rsidP="004F5781">
      <w:pPr>
        <w:pStyle w:val="Heading3"/>
      </w:pPr>
      <w:r w:rsidRPr="004F5781">
        <w:t>As well as access into the property, we may require access to specific areas inside the property. While we always aim to minimise disruption, as stated in our repairs policy we may ask the resident to clear an area or lift up a floor covering to allow us access. We will arrange support if the tenant has a disability that prevents them from being able to do this.</w:t>
      </w:r>
    </w:p>
    <w:p w14:paraId="0CA2D0FC" w14:textId="77777777" w:rsidR="00864D8A" w:rsidRDefault="00864D8A" w:rsidP="004F5781">
      <w:pPr>
        <w:pStyle w:val="Heading3"/>
      </w:pPr>
      <w:r>
        <w:t xml:space="preserve">Individual tenancy agreements and leases will detail rights and responsibilities in relation to residents providing access to their home. Failure to meet such obligations may constitute a breach of contract. </w:t>
      </w:r>
    </w:p>
    <w:p w14:paraId="40185982" w14:textId="58A37352" w:rsidR="007129D3" w:rsidRDefault="007129D3" w:rsidP="007129D3">
      <w:pPr>
        <w:pStyle w:val="Heading2"/>
      </w:pPr>
      <w:r>
        <w:t>Re-arranging appointments</w:t>
      </w:r>
    </w:p>
    <w:p w14:paraId="2A4E8E98" w14:textId="3E917802" w:rsidR="007129D3" w:rsidRPr="00864D8A" w:rsidRDefault="007129D3" w:rsidP="00070A33">
      <w:pPr>
        <w:pStyle w:val="Heading3"/>
        <w:rPr>
          <w:b/>
        </w:rPr>
      </w:pPr>
      <w:r w:rsidRPr="00222F59">
        <w:t>Tenants are reminded, where they know they will not be home for an appointment, to contact</w:t>
      </w:r>
      <w:r w:rsidR="00070A33">
        <w:t xml:space="preserve"> SDC</w:t>
      </w:r>
      <w:r w:rsidRPr="00222F59">
        <w:t xml:space="preserve"> to rearrange. Every missed appointment</w:t>
      </w:r>
      <w:r w:rsidR="00070A33">
        <w:t xml:space="preserve"> comes at a </w:t>
      </w:r>
      <w:r w:rsidR="00736069">
        <w:t>cost,</w:t>
      </w:r>
      <w:r w:rsidR="00070A33">
        <w:t xml:space="preserve"> and this </w:t>
      </w:r>
      <w:r w:rsidRPr="00222F59">
        <w:t xml:space="preserve">diverts resources from </w:t>
      </w:r>
      <w:r w:rsidR="00070A33">
        <w:t>the service SDC delivers for</w:t>
      </w:r>
      <w:r w:rsidRPr="00222F59">
        <w:t xml:space="preserve"> residents. </w:t>
      </w:r>
    </w:p>
    <w:p w14:paraId="14C5417E" w14:textId="1FE9AD79" w:rsidR="00F82282" w:rsidRDefault="00F82282" w:rsidP="00F82282">
      <w:pPr>
        <w:pStyle w:val="Heading1"/>
      </w:pPr>
      <w:r>
        <w:t>THE PROCESS IF ACCESS IS NOT PROVIDED</w:t>
      </w:r>
    </w:p>
    <w:p w14:paraId="5BFE7139" w14:textId="788E55C3" w:rsidR="001F7FE2" w:rsidRDefault="001F7FE2" w:rsidP="00FD2B8D">
      <w:pPr>
        <w:pStyle w:val="Heading2"/>
      </w:pPr>
      <w:r>
        <w:t>Additional measures SDC may take to attempt access</w:t>
      </w:r>
    </w:p>
    <w:p w14:paraId="3723D4D9" w14:textId="77777777" w:rsidR="001F7FE2" w:rsidRDefault="001F7FE2" w:rsidP="004F5781">
      <w:pPr>
        <w:pStyle w:val="Heading3"/>
      </w:pPr>
      <w:r w:rsidRPr="008025F6">
        <w:t xml:space="preserve">Where occupants fail to respond to </w:t>
      </w:r>
      <w:r>
        <w:t xml:space="preserve">attempts to gain access, SDC </w:t>
      </w:r>
      <w:r w:rsidRPr="008025F6">
        <w:t xml:space="preserve">may also, depending on individual circumstances and the urgency of the access required, deploy the following measures to secure access: </w:t>
      </w:r>
    </w:p>
    <w:p w14:paraId="74A94F69" w14:textId="40067C52" w:rsidR="001F7FE2" w:rsidRDefault="00E956A7" w:rsidP="00E017D0">
      <w:pPr>
        <w:pStyle w:val="Heading50"/>
        <w:numPr>
          <w:ilvl w:val="1"/>
          <w:numId w:val="19"/>
        </w:numPr>
        <w:ind w:left="1134"/>
      </w:pPr>
      <w:r w:rsidRPr="008025F6">
        <w:t>Contact</w:t>
      </w:r>
      <w:r w:rsidR="001F7FE2" w:rsidRPr="008025F6">
        <w:t xml:space="preserve"> </w:t>
      </w:r>
      <w:r>
        <w:t>next of kin</w:t>
      </w:r>
      <w:r w:rsidR="001F7FE2" w:rsidRPr="008025F6">
        <w:t xml:space="preserve"> or those listed as having caring responsibilities</w:t>
      </w:r>
      <w:r w:rsidR="005E7E23">
        <w:t>.</w:t>
      </w:r>
      <w:r w:rsidR="001F7FE2" w:rsidRPr="008025F6">
        <w:t xml:space="preserve"> </w:t>
      </w:r>
    </w:p>
    <w:p w14:paraId="1E587365" w14:textId="00CEB2F8" w:rsidR="001F7FE2" w:rsidRDefault="00441F80" w:rsidP="00E017D0">
      <w:pPr>
        <w:pStyle w:val="Heading50"/>
        <w:numPr>
          <w:ilvl w:val="1"/>
          <w:numId w:val="19"/>
        </w:numPr>
        <w:ind w:left="1134"/>
      </w:pPr>
      <w:r>
        <w:t>Cold call at the property for the purposes of agreeing a suitable appointment date and time</w:t>
      </w:r>
      <w:r w:rsidR="005E7E23">
        <w:t>.</w:t>
      </w:r>
    </w:p>
    <w:p w14:paraId="424FB418" w14:textId="428354FF" w:rsidR="001F7FE2" w:rsidRDefault="00E956A7" w:rsidP="00E017D0">
      <w:pPr>
        <w:pStyle w:val="Heading50"/>
        <w:numPr>
          <w:ilvl w:val="1"/>
          <w:numId w:val="19"/>
        </w:numPr>
        <w:ind w:left="1134"/>
      </w:pPr>
      <w:r w:rsidRPr="008025F6">
        <w:t>Contact</w:t>
      </w:r>
      <w:r w:rsidR="001F7FE2" w:rsidRPr="008025F6">
        <w:t xml:space="preserve"> known external support and advocacy groups</w:t>
      </w:r>
      <w:r w:rsidR="005E7E23">
        <w:t>.</w:t>
      </w:r>
    </w:p>
    <w:p w14:paraId="44BFA348" w14:textId="77777777" w:rsidR="00E956A7" w:rsidRDefault="00A87036" w:rsidP="00E956A7">
      <w:pPr>
        <w:pStyle w:val="Heading2"/>
      </w:pPr>
      <w:r>
        <w:t>Denied</w:t>
      </w:r>
      <w:r w:rsidR="00864D8A">
        <w:t xml:space="preserve"> access </w:t>
      </w:r>
      <w:r>
        <w:t>for</w:t>
      </w:r>
      <w:r w:rsidR="00864D8A">
        <w:t xml:space="preserve"> a pre-</w:t>
      </w:r>
      <w:r w:rsidR="00864D8A" w:rsidRPr="005E7E23">
        <w:t>planned</w:t>
      </w:r>
      <w:r w:rsidR="00864D8A">
        <w:t xml:space="preserve"> appointment</w:t>
      </w:r>
    </w:p>
    <w:p w14:paraId="21F034F4" w14:textId="6CDE9A91" w:rsidR="00E956A7" w:rsidRDefault="00A87036" w:rsidP="00E956A7">
      <w:pPr>
        <w:pStyle w:val="Heading3"/>
      </w:pPr>
      <w:r>
        <w:t>When attending a pre-planned appointment, the Council and contractor will clearly knock on the door or ri</w:t>
      </w:r>
      <w:r w:rsidR="00793CE2">
        <w:t>ng</w:t>
      </w:r>
      <w:r>
        <w:t xml:space="preserve"> </w:t>
      </w:r>
      <w:r w:rsidRPr="00827FA0">
        <w:t xml:space="preserve">the </w:t>
      </w:r>
      <w:r w:rsidR="00736069" w:rsidRPr="00827FA0">
        <w:t>doorbell</w:t>
      </w:r>
      <w:r w:rsidRPr="00827FA0">
        <w:t xml:space="preserve"> at least </w:t>
      </w:r>
      <w:r w:rsidRPr="00736069">
        <w:t>twice</w:t>
      </w:r>
      <w:r w:rsidRPr="00827FA0">
        <w:t xml:space="preserve"> and wait for a response. Additionally, </w:t>
      </w:r>
      <w:r w:rsidR="00793CE2">
        <w:t>where</w:t>
      </w:r>
      <w:r w:rsidRPr="00827FA0">
        <w:t xml:space="preserve"> a contact telephone or mobile number for a tenant is available, the </w:t>
      </w:r>
      <w:r>
        <w:t xml:space="preserve">Council or contractor </w:t>
      </w:r>
      <w:r w:rsidRPr="00793CE2">
        <w:t>will</w:t>
      </w:r>
      <w:r w:rsidR="0045094D">
        <w:t xml:space="preserve"> attempt</w:t>
      </w:r>
      <w:r>
        <w:t xml:space="preserve"> to call the tenant. </w:t>
      </w:r>
    </w:p>
    <w:p w14:paraId="4642CB39" w14:textId="77777777" w:rsidR="00E956A7" w:rsidRPr="00E956A7" w:rsidRDefault="00E956A7" w:rsidP="00E956A7"/>
    <w:p w14:paraId="21C68223" w14:textId="1023957E" w:rsidR="00E956A7" w:rsidRDefault="007E1A07" w:rsidP="00E956A7">
      <w:pPr>
        <w:pStyle w:val="Heading3"/>
      </w:pPr>
      <w:r w:rsidRPr="00A732DE">
        <w:lastRenderedPageBreak/>
        <w:t>Should the Council</w:t>
      </w:r>
      <w:r w:rsidR="00864D8A">
        <w:t xml:space="preserve"> or contractor</w:t>
      </w:r>
      <w:r w:rsidRPr="00A732DE">
        <w:t xml:space="preserve"> attend the pre-planned </w:t>
      </w:r>
      <w:r w:rsidRPr="001F7FE2">
        <w:t>appointment and the tenant be out</w:t>
      </w:r>
      <w:r w:rsidR="006106E4">
        <w:t>,</w:t>
      </w:r>
      <w:r w:rsidRPr="001F7FE2">
        <w:t xml:space="preserve"> or refuse to allow the Council access, this will be recorded </w:t>
      </w:r>
      <w:r w:rsidR="001F7FE2">
        <w:t xml:space="preserve">on </w:t>
      </w:r>
      <w:r w:rsidR="00DA5F42">
        <w:t>SDC</w:t>
      </w:r>
      <w:r w:rsidR="001F7FE2">
        <w:t xml:space="preserve"> systems </w:t>
      </w:r>
      <w:r w:rsidRPr="001F7FE2">
        <w:t xml:space="preserve">as </w:t>
      </w:r>
      <w:r w:rsidR="00736069">
        <w:t>‘</w:t>
      </w:r>
      <w:r w:rsidRPr="001F7FE2">
        <w:t xml:space="preserve">no </w:t>
      </w:r>
      <w:r w:rsidRPr="006106E4">
        <w:t>access</w:t>
      </w:r>
      <w:r w:rsidR="00736069">
        <w:t>’</w:t>
      </w:r>
      <w:r w:rsidR="0045094D" w:rsidRPr="006106E4">
        <w:t xml:space="preserve">. </w:t>
      </w:r>
      <w:r w:rsidR="00A87036" w:rsidRPr="006106E4">
        <w:t xml:space="preserve">In this event, a ‘no access’ card </w:t>
      </w:r>
      <w:r w:rsidR="004F2504">
        <w:t xml:space="preserve">or sticker </w:t>
      </w:r>
      <w:r w:rsidR="00A87036" w:rsidRPr="006106E4">
        <w:t>will be left at the property</w:t>
      </w:r>
      <w:r w:rsidR="006106E4" w:rsidRPr="006106E4">
        <w:t xml:space="preserve"> </w:t>
      </w:r>
      <w:r w:rsidR="0045094D" w:rsidRPr="00E956A7">
        <w:t xml:space="preserve">and </w:t>
      </w:r>
      <w:r w:rsidR="00AA5257" w:rsidRPr="00E956A7">
        <w:t>the failed access attempt may be recharged to the tenant.</w:t>
      </w:r>
      <w:r w:rsidR="00AA5257" w:rsidRPr="00793CE2">
        <w:t xml:space="preserve"> </w:t>
      </w:r>
    </w:p>
    <w:p w14:paraId="4EE31DC3" w14:textId="6DE5BE68" w:rsidR="005E7E23" w:rsidRDefault="007E1A07" w:rsidP="00E956A7">
      <w:pPr>
        <w:pStyle w:val="Heading3"/>
      </w:pPr>
      <w:r w:rsidRPr="00A732DE">
        <w:t xml:space="preserve">The Council </w:t>
      </w:r>
      <w:r w:rsidR="009A4137">
        <w:t xml:space="preserve">or contractor </w:t>
      </w:r>
      <w:r w:rsidRPr="00A732DE">
        <w:t xml:space="preserve">will </w:t>
      </w:r>
      <w:r w:rsidR="00EE347C" w:rsidRPr="0066694D">
        <w:t xml:space="preserve">make </w:t>
      </w:r>
      <w:r w:rsidR="004F2504">
        <w:t>a</w:t>
      </w:r>
      <w:r w:rsidR="005E7E23">
        <w:t>t least one</w:t>
      </w:r>
      <w:r w:rsidR="004F2504">
        <w:t xml:space="preserve"> further </w:t>
      </w:r>
      <w:r w:rsidRPr="00A732DE">
        <w:t>attempt</w:t>
      </w:r>
      <w:r w:rsidR="004F2504">
        <w:t xml:space="preserve"> </w:t>
      </w:r>
      <w:r w:rsidR="00EE347C">
        <w:t>to gain access at a pre-planned time that suits the tenant.</w:t>
      </w:r>
      <w:r w:rsidR="004F2504">
        <w:t xml:space="preserve"> </w:t>
      </w:r>
    </w:p>
    <w:p w14:paraId="003EECA9" w14:textId="783DAF39" w:rsidR="004F2504" w:rsidRDefault="004F2504" w:rsidP="004F2504">
      <w:pPr>
        <w:pStyle w:val="Heading3"/>
      </w:pPr>
      <w:r>
        <w:t xml:space="preserve">After two failed attempts to gain pre-planned access, the Council will send the tenant a pre-action letter advising the tenant that they must allow access at </w:t>
      </w:r>
      <w:r w:rsidR="005E7E23">
        <w:t>a</w:t>
      </w:r>
      <w:r>
        <w:t xml:space="preserve"> third appointment attempt, or legal proceedings will be commenced. </w:t>
      </w:r>
    </w:p>
    <w:p w14:paraId="6674D2ED" w14:textId="4F841A5A" w:rsidR="005D455A" w:rsidRDefault="005D455A" w:rsidP="00DE564F">
      <w:pPr>
        <w:pStyle w:val="Heading3"/>
        <w:rPr>
          <w:rStyle w:val="Heading3Char"/>
        </w:rPr>
      </w:pPr>
      <w:r>
        <w:rPr>
          <w:rStyle w:val="Heading3Char"/>
        </w:rPr>
        <w:t>For complex repair</w:t>
      </w:r>
      <w:r w:rsidR="004C56FC">
        <w:rPr>
          <w:rStyle w:val="Heading3Char"/>
        </w:rPr>
        <w:t xml:space="preserve"> works</w:t>
      </w:r>
      <w:r>
        <w:rPr>
          <w:rStyle w:val="Heading3Char"/>
        </w:rPr>
        <w:t xml:space="preserve"> that require access from a third-party utility company, a mutually agreeable time will be arranged with the resident for access to the property. SDC will </w:t>
      </w:r>
      <w:r w:rsidR="004C56FC">
        <w:rPr>
          <w:rStyle w:val="Heading3Char"/>
        </w:rPr>
        <w:t xml:space="preserve">provide written confirmation of the </w:t>
      </w:r>
      <w:r w:rsidR="00337EB5">
        <w:rPr>
          <w:rStyle w:val="Heading3Char"/>
        </w:rPr>
        <w:t xml:space="preserve">agreed </w:t>
      </w:r>
      <w:r w:rsidR="004C56FC">
        <w:rPr>
          <w:rStyle w:val="Heading3Char"/>
        </w:rPr>
        <w:t xml:space="preserve">appointment </w:t>
      </w:r>
      <w:r w:rsidR="00337EB5">
        <w:rPr>
          <w:rStyle w:val="Heading3Char"/>
        </w:rPr>
        <w:t xml:space="preserve">time </w:t>
      </w:r>
      <w:r w:rsidR="004C56FC">
        <w:rPr>
          <w:rStyle w:val="Heading3Char"/>
        </w:rPr>
        <w:t xml:space="preserve">to the </w:t>
      </w:r>
      <w:r w:rsidR="00337EB5">
        <w:rPr>
          <w:rStyle w:val="Heading3Char"/>
        </w:rPr>
        <w:t>resident and</w:t>
      </w:r>
      <w:r w:rsidR="004C56FC">
        <w:rPr>
          <w:rStyle w:val="Heading3Char"/>
        </w:rPr>
        <w:t xml:space="preserve"> will </w:t>
      </w:r>
      <w:r>
        <w:rPr>
          <w:rStyle w:val="Heading3Char"/>
        </w:rPr>
        <w:t xml:space="preserve">set out the </w:t>
      </w:r>
      <w:r w:rsidR="004C56FC">
        <w:rPr>
          <w:rStyle w:val="Heading3Char"/>
        </w:rPr>
        <w:t>third-party</w:t>
      </w:r>
      <w:r>
        <w:rPr>
          <w:rStyle w:val="Heading3Char"/>
        </w:rPr>
        <w:t xml:space="preserve"> cancellation policy which must be adhered to. </w:t>
      </w:r>
      <w:r w:rsidR="004C56FC">
        <w:rPr>
          <w:rStyle w:val="Heading3Char"/>
        </w:rPr>
        <w:t xml:space="preserve">Where </w:t>
      </w:r>
      <w:r>
        <w:rPr>
          <w:rStyle w:val="Heading3Char"/>
        </w:rPr>
        <w:t xml:space="preserve">a resident </w:t>
      </w:r>
      <w:r w:rsidR="004C56FC">
        <w:rPr>
          <w:rStyle w:val="Heading3Char"/>
        </w:rPr>
        <w:t>does</w:t>
      </w:r>
      <w:r>
        <w:rPr>
          <w:rStyle w:val="Heading3Char"/>
        </w:rPr>
        <w:t xml:space="preserve"> not adhere to the third-party cancellation </w:t>
      </w:r>
      <w:r w:rsidR="004C56FC">
        <w:rPr>
          <w:rStyle w:val="Heading3Char"/>
        </w:rPr>
        <w:t>policy,</w:t>
      </w:r>
      <w:r>
        <w:rPr>
          <w:rStyle w:val="Heading3Char"/>
        </w:rPr>
        <w:t xml:space="preserve"> they may be recharged the cost</w:t>
      </w:r>
      <w:r w:rsidR="004C56FC">
        <w:rPr>
          <w:rStyle w:val="Heading3Char"/>
        </w:rPr>
        <w:t>s incurred.</w:t>
      </w:r>
    </w:p>
    <w:p w14:paraId="23721E1C" w14:textId="5BC66DF2" w:rsidR="00DE564F" w:rsidRPr="00DE564F" w:rsidRDefault="00DE564F" w:rsidP="00DE564F">
      <w:pPr>
        <w:pStyle w:val="Heading3"/>
        <w:rPr>
          <w:rStyle w:val="Heading3Char"/>
        </w:rPr>
      </w:pPr>
      <w:r w:rsidRPr="00DE564F">
        <w:rPr>
          <w:rStyle w:val="Heading3Char"/>
        </w:rPr>
        <w:t>Where access is refused for planned works that the tenant ha</w:t>
      </w:r>
      <w:r>
        <w:rPr>
          <w:rStyle w:val="Heading3Char"/>
        </w:rPr>
        <w:t>d</w:t>
      </w:r>
      <w:r w:rsidRPr="00DE564F">
        <w:rPr>
          <w:rStyle w:val="Heading3Char"/>
        </w:rPr>
        <w:t xml:space="preserve"> previously </w:t>
      </w:r>
      <w:r>
        <w:rPr>
          <w:rStyle w:val="Heading3Char"/>
        </w:rPr>
        <w:t>consented</w:t>
      </w:r>
      <w:r w:rsidRPr="00DE564F">
        <w:rPr>
          <w:rStyle w:val="Heading3Char"/>
        </w:rPr>
        <w:t xml:space="preserve"> to, </w:t>
      </w:r>
      <w:r w:rsidRPr="005E7E23">
        <w:rPr>
          <w:rStyle w:val="Heading3Char"/>
        </w:rPr>
        <w:t>SDC may re-charge the tenant</w:t>
      </w:r>
      <w:r w:rsidRPr="00DE564F">
        <w:rPr>
          <w:rStyle w:val="Heading3Char"/>
        </w:rPr>
        <w:t xml:space="preserve"> for </w:t>
      </w:r>
      <w:r w:rsidR="00E60313">
        <w:rPr>
          <w:rStyle w:val="Heading3Char"/>
        </w:rPr>
        <w:t>any</w:t>
      </w:r>
      <w:r w:rsidR="005E7E23">
        <w:rPr>
          <w:rStyle w:val="Heading3Char"/>
        </w:rPr>
        <w:t xml:space="preserve"> pre-ordered</w:t>
      </w:r>
      <w:r w:rsidR="00E60313">
        <w:rPr>
          <w:rStyle w:val="Heading3Char"/>
        </w:rPr>
        <w:t xml:space="preserve"> </w:t>
      </w:r>
      <w:r w:rsidRPr="00DE564F">
        <w:rPr>
          <w:rStyle w:val="Heading3Char"/>
        </w:rPr>
        <w:t>works materials</w:t>
      </w:r>
      <w:r w:rsidR="00E60313">
        <w:rPr>
          <w:rStyle w:val="Heading3Char"/>
        </w:rPr>
        <w:t>.</w:t>
      </w:r>
    </w:p>
    <w:p w14:paraId="09F8F755" w14:textId="77777777" w:rsidR="005D455A" w:rsidRDefault="005C0DB9" w:rsidP="004F5781">
      <w:pPr>
        <w:pStyle w:val="Heading2"/>
      </w:pPr>
      <w:r w:rsidRPr="0066694D">
        <w:t>SDC process if access is repeatedly refused:</w:t>
      </w:r>
    </w:p>
    <w:p w14:paraId="5D888565" w14:textId="77777777" w:rsidR="005D455A" w:rsidRDefault="006459E9" w:rsidP="005D455A">
      <w:pPr>
        <w:pStyle w:val="Heading3"/>
      </w:pPr>
      <w:r>
        <w:t>In the vast majority of cases the above measures usually result in access being secured</w:t>
      </w:r>
      <w:r w:rsidR="00994EDC">
        <w:t>. W</w:t>
      </w:r>
      <w:r>
        <w:t>here routes to gain access have been exhausted</w:t>
      </w:r>
      <w:r w:rsidR="00994EDC">
        <w:t>,</w:t>
      </w:r>
      <w:r w:rsidR="00163B54">
        <w:t xml:space="preserve"> </w:t>
      </w:r>
      <w:r w:rsidR="008A2A5A">
        <w:t>particularly</w:t>
      </w:r>
      <w:r w:rsidR="00163B54">
        <w:t xml:space="preserve"> where there is a</w:t>
      </w:r>
      <w:r w:rsidR="003545EA">
        <w:t xml:space="preserve"> </w:t>
      </w:r>
      <w:r w:rsidR="00163B54" w:rsidRPr="00793CE2">
        <w:t>statutory or regulatory requirement</w:t>
      </w:r>
      <w:r w:rsidR="00994EDC" w:rsidRPr="00793CE2">
        <w:t xml:space="preserve">, or a health and safety reason for accessing a property, SDC </w:t>
      </w:r>
      <w:r w:rsidR="008A2A5A">
        <w:t xml:space="preserve">will initiate legal </w:t>
      </w:r>
      <w:r w:rsidR="00DE564F">
        <w:t>proceedings.</w:t>
      </w:r>
      <w:r w:rsidR="005D455A">
        <w:t xml:space="preserve"> </w:t>
      </w:r>
    </w:p>
    <w:p w14:paraId="66D25F75" w14:textId="77777777" w:rsidR="005D455A" w:rsidRDefault="004F2504" w:rsidP="005D455A">
      <w:pPr>
        <w:pStyle w:val="Heading3"/>
      </w:pPr>
      <w:r>
        <w:t xml:space="preserve">Following </w:t>
      </w:r>
      <w:r w:rsidR="005E7E23">
        <w:t xml:space="preserve">a minimum of </w:t>
      </w:r>
      <w:r>
        <w:t xml:space="preserve">three failed access attempts, </w:t>
      </w:r>
      <w:r w:rsidR="00DE564F">
        <w:t>SDC will s</w:t>
      </w:r>
      <w:r w:rsidR="008A2A5A" w:rsidRPr="00793CE2">
        <w:t xml:space="preserve">erve the tenant with legal papers asking the court for </w:t>
      </w:r>
      <w:r w:rsidR="008A2A5A" w:rsidRPr="005E7E23">
        <w:t>an injunction</w:t>
      </w:r>
      <w:r w:rsidR="00076A14">
        <w:t xml:space="preserve"> order</w:t>
      </w:r>
      <w:r w:rsidR="008A2A5A" w:rsidRPr="005E7E23">
        <w:t xml:space="preserve"> to</w:t>
      </w:r>
      <w:r w:rsidR="008A2A5A" w:rsidRPr="00793CE2">
        <w:t xml:space="preserve"> allow SDC access into the resident’s home and to ask the court to require the resident to pay the Council’s legal fees.</w:t>
      </w:r>
      <w:r w:rsidR="00B16FC9">
        <w:t xml:space="preserve"> </w:t>
      </w:r>
      <w:r w:rsidR="008A2A5A" w:rsidRPr="00793CE2">
        <w:t>Additionally,</w:t>
      </w:r>
      <w:r w:rsidR="00B16FC9">
        <w:t xml:space="preserve"> </w:t>
      </w:r>
      <w:r w:rsidR="008A2A5A" w:rsidRPr="00793CE2">
        <w:t>SDC may ask the court to grant an injunction to last the life of the tenancy to allow ongoing access for specific situations e.g. gas safety.</w:t>
      </w:r>
    </w:p>
    <w:p w14:paraId="1AF0BB51" w14:textId="77777777" w:rsidR="005D455A" w:rsidRDefault="00770924" w:rsidP="005D455A">
      <w:pPr>
        <w:pStyle w:val="Heading3"/>
      </w:pPr>
      <w:r>
        <w:t>To allow SDC to carry out its legal landlord duties in the interests of the safety of the tenant and of the home, t</w:t>
      </w:r>
      <w:r w:rsidR="0067434A">
        <w:t xml:space="preserve">he </w:t>
      </w:r>
      <w:r>
        <w:t>i</w:t>
      </w:r>
      <w:r w:rsidR="0067434A">
        <w:t xml:space="preserve">njunction order may include a provision to ask the court to grant permission to </w:t>
      </w:r>
      <w:r>
        <w:t xml:space="preserve">SDC to </w:t>
      </w:r>
      <w:r w:rsidR="0067434A">
        <w:t>force entry to the property</w:t>
      </w:r>
      <w:r>
        <w:t xml:space="preserve"> where the resident continues to refuse access. </w:t>
      </w:r>
      <w:r w:rsidR="00467F69">
        <w:t xml:space="preserve">This is at the discretion of the court. </w:t>
      </w:r>
      <w:r>
        <w:t>Where</w:t>
      </w:r>
      <w:r w:rsidR="00467F69">
        <w:t xml:space="preserve"> permission for </w:t>
      </w:r>
      <w:r>
        <w:t xml:space="preserve">forced entry is </w:t>
      </w:r>
      <w:r w:rsidR="00467F69">
        <w:t xml:space="preserve">granted and </w:t>
      </w:r>
      <w:r>
        <w:t>actioned, SDC may</w:t>
      </w:r>
      <w:r w:rsidR="003402DE">
        <w:t xml:space="preserve"> re-charge the resident for costs related to changed locks. </w:t>
      </w:r>
    </w:p>
    <w:p w14:paraId="5D1C2373" w14:textId="77777777" w:rsidR="005D455A" w:rsidRDefault="0086558D" w:rsidP="005D455A">
      <w:pPr>
        <w:pStyle w:val="Heading3"/>
      </w:pPr>
      <w:r>
        <w:t>W</w:t>
      </w:r>
      <w:r w:rsidR="008A2A5A" w:rsidRPr="00793CE2">
        <w:t xml:space="preserve">here the council has been granted an injunction </w:t>
      </w:r>
      <w:r w:rsidR="0067434A">
        <w:t>that does not include</w:t>
      </w:r>
      <w:r w:rsidR="00770924">
        <w:t xml:space="preserve"> the provision for</w:t>
      </w:r>
      <w:r w:rsidR="0067434A">
        <w:t xml:space="preserve"> forced entr</w:t>
      </w:r>
      <w:r w:rsidR="00770924">
        <w:t>y</w:t>
      </w:r>
      <w:r w:rsidR="0067434A">
        <w:t xml:space="preserve"> </w:t>
      </w:r>
      <w:r w:rsidR="008A2A5A" w:rsidRPr="00793CE2">
        <w:t xml:space="preserve">and the resident </w:t>
      </w:r>
      <w:r>
        <w:t>continues to not</w:t>
      </w:r>
      <w:r w:rsidR="008A2A5A" w:rsidRPr="00793CE2">
        <w:t xml:space="preserve"> allow access,</w:t>
      </w:r>
      <w:r>
        <w:t xml:space="preserve"> further punishment will be decided by the </w:t>
      </w:r>
      <w:r w:rsidR="00F072CD">
        <w:t>c</w:t>
      </w:r>
      <w:r>
        <w:t>ourt</w:t>
      </w:r>
      <w:r w:rsidR="00B16FC9">
        <w:t xml:space="preserve"> as part of contempt proceedings</w:t>
      </w:r>
      <w:r>
        <w:t xml:space="preserve">. It is a serious offence to ignore a court order that can result in </w:t>
      </w:r>
      <w:r w:rsidR="00076A14">
        <w:t xml:space="preserve">fines and </w:t>
      </w:r>
      <w:r>
        <w:t>imprisonment for up to two years</w:t>
      </w:r>
      <w:r w:rsidR="00076A14">
        <w:t>.</w:t>
      </w:r>
    </w:p>
    <w:p w14:paraId="03487CCC" w14:textId="77777777" w:rsidR="005D455A" w:rsidRPr="005D455A" w:rsidRDefault="005D455A" w:rsidP="005D455A"/>
    <w:p w14:paraId="578FCA30" w14:textId="448929FA" w:rsidR="008A2A5A" w:rsidRPr="00793CE2" w:rsidRDefault="008A2A5A" w:rsidP="005D455A">
      <w:pPr>
        <w:pStyle w:val="Heading3"/>
      </w:pPr>
      <w:r w:rsidRPr="00793CE2">
        <w:lastRenderedPageBreak/>
        <w:t xml:space="preserve">In the most severe cases the Council will consider serving notice seeking possession for breach of tenancy and apply to the courts to bring the tenancy to an end. </w:t>
      </w:r>
    </w:p>
    <w:p w14:paraId="6B4C81CD" w14:textId="2C16453D" w:rsidR="007E1A07" w:rsidRPr="00793CE2" w:rsidRDefault="007E1A07" w:rsidP="007E1A07">
      <w:pPr>
        <w:pStyle w:val="Heading1"/>
      </w:pPr>
      <w:r w:rsidRPr="00793CE2">
        <w:t>MONITORING AND CONTROLS</w:t>
      </w:r>
    </w:p>
    <w:p w14:paraId="4269DC2E" w14:textId="77777777" w:rsidR="005E2CE4" w:rsidRDefault="00B41B86" w:rsidP="00B41B86">
      <w:pPr>
        <w:pStyle w:val="Heading2"/>
      </w:pPr>
      <w:r>
        <w:t>Monitoring and review</w:t>
      </w:r>
    </w:p>
    <w:p w14:paraId="71F77B85" w14:textId="77777777" w:rsidR="005E2CE4" w:rsidRDefault="00CB4051" w:rsidP="005E2CE4">
      <w:pPr>
        <w:pStyle w:val="Heading3"/>
      </w:pPr>
      <w:r w:rsidRPr="00B41B86">
        <w:t>This is a cross-service policy tha</w:t>
      </w:r>
      <w:r w:rsidR="003A501F" w:rsidRPr="00B41B86">
        <w:t>t will be reviewed in line with any changes to legislation, regulation and accepted practice.</w:t>
      </w:r>
    </w:p>
    <w:p w14:paraId="3788B1DA" w14:textId="12B6ECA2" w:rsidR="005E2CE4" w:rsidRDefault="003A501F" w:rsidP="005E2CE4">
      <w:pPr>
        <w:pStyle w:val="Heading3"/>
      </w:pPr>
      <w:r>
        <w:t xml:space="preserve">This policy will be monitored through procedural checks and data analysis. All attempts to access a property will be recorded on </w:t>
      </w:r>
      <w:r w:rsidR="00DA5F42">
        <w:t>SDC</w:t>
      </w:r>
      <w:r>
        <w:t xml:space="preserve"> IT systems and </w:t>
      </w:r>
      <w:r w:rsidR="00AD01E1">
        <w:t>SDC</w:t>
      </w:r>
      <w:r>
        <w:t xml:space="preserve"> will use this data to understand patterns of repeated refused access attempts. </w:t>
      </w:r>
      <w:r w:rsidR="00B41B86">
        <w:t>SDC</w:t>
      </w:r>
      <w:r>
        <w:t xml:space="preserve"> may use specific data to identify access problems and improve first time access. For example, </w:t>
      </w:r>
      <w:r w:rsidR="00DA5F42">
        <w:t>SDC</w:t>
      </w:r>
      <w:r>
        <w:t xml:space="preserve"> may record and compare numbers of missed appointments for different types of </w:t>
      </w:r>
      <w:r w:rsidR="00AD01E1">
        <w:t>appointment or</w:t>
      </w:r>
      <w:r w:rsidR="00C0257E">
        <w:t xml:space="preserve"> analyse the number of attempts used to gain access to a property. </w:t>
      </w:r>
    </w:p>
    <w:p w14:paraId="3C6CB6F7" w14:textId="3AC1CAAA" w:rsidR="00B41B86" w:rsidRPr="005E2CE4" w:rsidRDefault="00B41B86" w:rsidP="00C0257E">
      <w:pPr>
        <w:pStyle w:val="Heading2"/>
        <w:rPr>
          <w:rFonts w:ascii="Arial" w:hAnsi="Arial" w:cs="Arial"/>
          <w:b/>
        </w:rPr>
      </w:pPr>
      <w:r w:rsidRPr="005E2CE4">
        <w:rPr>
          <w:rFonts w:ascii="Arial" w:hAnsi="Arial" w:cs="Arial"/>
          <w:b/>
        </w:rPr>
        <w:t>Controls and record keeping</w:t>
      </w:r>
    </w:p>
    <w:p w14:paraId="3427392D" w14:textId="1B35D50A" w:rsidR="00C0257E" w:rsidRDefault="00AD01E1" w:rsidP="00B41B86">
      <w:pPr>
        <w:pStyle w:val="Heading3"/>
        <w:rPr>
          <w:b/>
        </w:rPr>
      </w:pPr>
      <w:r>
        <w:t>SDC</w:t>
      </w:r>
      <w:r w:rsidR="00C0257E">
        <w:t xml:space="preserve"> will keep a record of communications, paperwork and in some cases digital images as proof of the steps </w:t>
      </w:r>
      <w:r w:rsidR="00B41B86">
        <w:t>that have been</w:t>
      </w:r>
      <w:r w:rsidR="00C0257E">
        <w:t xml:space="preserve"> taken</w:t>
      </w:r>
      <w:r>
        <w:t xml:space="preserve"> to gain </w:t>
      </w:r>
      <w:r w:rsidR="00B41B86">
        <w:t>access and</w:t>
      </w:r>
      <w:r w:rsidR="00C0257E">
        <w:t xml:space="preserve"> will retain these for inspection should this be necessary in accord with any legal requirements.</w:t>
      </w:r>
    </w:p>
    <w:p w14:paraId="5FC9482A" w14:textId="38F5DE96" w:rsidR="00C0257E" w:rsidRDefault="00AD01E1" w:rsidP="00B41B86">
      <w:pPr>
        <w:pStyle w:val="Heading3"/>
      </w:pPr>
      <w:r>
        <w:t>SDC</w:t>
      </w:r>
      <w:r w:rsidR="00C0257E">
        <w:t xml:space="preserve"> will continue to train new and existing staff to ensure they implement this policy correctly and in line with agreed procedures, when they require access to a resident’s home. </w:t>
      </w:r>
      <w:r w:rsidR="0067434A">
        <w:t>Likewise,</w:t>
      </w:r>
      <w:r>
        <w:t xml:space="preserve"> SDC</w:t>
      </w:r>
      <w:r w:rsidR="00C0257E">
        <w:t xml:space="preserve"> require that our contractors work in line with the</w:t>
      </w:r>
      <w:r w:rsidR="00B41B86">
        <w:t xml:space="preserve"> agreed</w:t>
      </w:r>
      <w:r w:rsidR="00C0257E">
        <w:t xml:space="preserve"> standards when they are seeking access. </w:t>
      </w:r>
    </w:p>
    <w:p w14:paraId="34DBB9BC" w14:textId="31903F10" w:rsidR="007E1A07" w:rsidRDefault="007E1A07" w:rsidP="007E1A07">
      <w:pPr>
        <w:pStyle w:val="Heading1"/>
      </w:pPr>
      <w:r>
        <w:t>LEGISLATION AND REGULATION</w:t>
      </w:r>
    </w:p>
    <w:p w14:paraId="6C325340" w14:textId="68F50D3F" w:rsidR="007E1A07" w:rsidRDefault="007E1A07" w:rsidP="00DC625B">
      <w:pPr>
        <w:pStyle w:val="Heading3"/>
        <w:rPr>
          <w:b/>
        </w:rPr>
      </w:pPr>
      <w:r>
        <w:t xml:space="preserve">The following list is not </w:t>
      </w:r>
      <w:r w:rsidR="00994EDC">
        <w:t>exhaustive but</w:t>
      </w:r>
      <w:r>
        <w:t xml:space="preserve"> provides examples of key legislation and regulation supporting our requirement to access to/through individual and block properties</w:t>
      </w:r>
      <w:r w:rsidR="00E017D0">
        <w:t>:</w:t>
      </w:r>
    </w:p>
    <w:p w14:paraId="2B9D9014" w14:textId="77777777" w:rsidR="004440C3" w:rsidRPr="004440C3" w:rsidRDefault="004440C3" w:rsidP="00E017D0">
      <w:pPr>
        <w:pStyle w:val="ListParagraph"/>
        <w:numPr>
          <w:ilvl w:val="0"/>
          <w:numId w:val="25"/>
        </w:numPr>
        <w:ind w:left="1134"/>
      </w:pPr>
      <w:r w:rsidRPr="004440C3">
        <w:t>The Defective Premises Act 1972</w:t>
      </w:r>
    </w:p>
    <w:p w14:paraId="67AFF394" w14:textId="77777777" w:rsidR="004440C3" w:rsidRPr="004440C3" w:rsidRDefault="004440C3" w:rsidP="00E017D0">
      <w:pPr>
        <w:pStyle w:val="ListParagraph"/>
        <w:numPr>
          <w:ilvl w:val="0"/>
          <w:numId w:val="25"/>
        </w:numPr>
        <w:ind w:left="1134"/>
      </w:pPr>
      <w:r w:rsidRPr="004440C3">
        <w:t>Health and Safety at Work Act 1974</w:t>
      </w:r>
    </w:p>
    <w:p w14:paraId="5DE09AF9" w14:textId="77777777" w:rsidR="004440C3" w:rsidRPr="004440C3" w:rsidRDefault="004440C3" w:rsidP="00E017D0">
      <w:pPr>
        <w:pStyle w:val="ListParagraph"/>
        <w:numPr>
          <w:ilvl w:val="0"/>
          <w:numId w:val="25"/>
        </w:numPr>
        <w:ind w:left="1134"/>
      </w:pPr>
      <w:r w:rsidRPr="004440C3">
        <w:t>Landlord and Tenant Act 1985 (Section 11 – Repairs and Maintenance)</w:t>
      </w:r>
    </w:p>
    <w:p w14:paraId="7CC28159" w14:textId="77777777" w:rsidR="004440C3" w:rsidRPr="004440C3" w:rsidRDefault="004440C3" w:rsidP="00E017D0">
      <w:pPr>
        <w:pStyle w:val="ListParagraph"/>
        <w:numPr>
          <w:ilvl w:val="0"/>
          <w:numId w:val="25"/>
        </w:numPr>
        <w:ind w:left="1134"/>
      </w:pPr>
      <w:r w:rsidRPr="004440C3">
        <w:t>Electricity at work regulations (1989)</w:t>
      </w:r>
    </w:p>
    <w:p w14:paraId="144A14D4" w14:textId="77777777" w:rsidR="004440C3" w:rsidRPr="004440C3" w:rsidRDefault="004440C3" w:rsidP="00E017D0">
      <w:pPr>
        <w:pStyle w:val="ListParagraph"/>
        <w:numPr>
          <w:ilvl w:val="0"/>
          <w:numId w:val="25"/>
        </w:numPr>
        <w:ind w:left="1134"/>
      </w:pPr>
      <w:r w:rsidRPr="004440C3">
        <w:t>The Gas Safety (Rights of Entry) Regulations 1996</w:t>
      </w:r>
    </w:p>
    <w:p w14:paraId="5F5E753F" w14:textId="77777777" w:rsidR="004440C3" w:rsidRPr="004440C3" w:rsidRDefault="004440C3" w:rsidP="00E017D0">
      <w:pPr>
        <w:pStyle w:val="ListParagraph"/>
        <w:numPr>
          <w:ilvl w:val="0"/>
          <w:numId w:val="25"/>
        </w:numPr>
        <w:ind w:left="1134"/>
      </w:pPr>
      <w:r w:rsidRPr="004440C3">
        <w:t>Gas Safety (Installation and Use) Regulations 1998</w:t>
      </w:r>
    </w:p>
    <w:p w14:paraId="7CC627AE" w14:textId="77777777" w:rsidR="004440C3" w:rsidRPr="004440C3" w:rsidRDefault="004440C3" w:rsidP="00E017D0">
      <w:pPr>
        <w:pStyle w:val="ListParagraph"/>
        <w:numPr>
          <w:ilvl w:val="0"/>
          <w:numId w:val="25"/>
        </w:numPr>
        <w:ind w:left="1134"/>
      </w:pPr>
      <w:r w:rsidRPr="004440C3">
        <w:t>Management of Health and Safety at Work Regulations 1999 (Regulation 11 Co-operation and Co-ordination)</w:t>
      </w:r>
    </w:p>
    <w:p w14:paraId="20D7B128" w14:textId="77777777" w:rsidR="004440C3" w:rsidRPr="004440C3" w:rsidRDefault="004440C3" w:rsidP="00E017D0">
      <w:pPr>
        <w:pStyle w:val="ListParagraph"/>
        <w:numPr>
          <w:ilvl w:val="0"/>
          <w:numId w:val="25"/>
        </w:numPr>
        <w:ind w:left="1134"/>
      </w:pPr>
      <w:r w:rsidRPr="004440C3">
        <w:t>Decent Homes Standard 2001</w:t>
      </w:r>
    </w:p>
    <w:p w14:paraId="6B002AFE" w14:textId="77777777" w:rsidR="004440C3" w:rsidRPr="004440C3" w:rsidRDefault="004440C3" w:rsidP="00E017D0">
      <w:pPr>
        <w:pStyle w:val="ListParagraph"/>
        <w:numPr>
          <w:ilvl w:val="0"/>
          <w:numId w:val="25"/>
        </w:numPr>
        <w:ind w:left="1134"/>
      </w:pPr>
      <w:r w:rsidRPr="004440C3">
        <w:t>Housing Act 2004 (Housing Health and Safety Rating System)</w:t>
      </w:r>
    </w:p>
    <w:p w14:paraId="4DD7A2A2" w14:textId="77777777" w:rsidR="004440C3" w:rsidRPr="004440C3" w:rsidRDefault="004440C3" w:rsidP="00E017D0">
      <w:pPr>
        <w:pStyle w:val="ListParagraph"/>
        <w:numPr>
          <w:ilvl w:val="0"/>
          <w:numId w:val="25"/>
        </w:numPr>
        <w:ind w:left="1134"/>
      </w:pPr>
      <w:r w:rsidRPr="004440C3">
        <w:t>Regulatory Reform (Fire Safety) Order 2005</w:t>
      </w:r>
    </w:p>
    <w:p w14:paraId="1F953608" w14:textId="77777777" w:rsidR="004440C3" w:rsidRPr="004440C3" w:rsidRDefault="004440C3" w:rsidP="00E017D0">
      <w:pPr>
        <w:pStyle w:val="ListParagraph"/>
        <w:numPr>
          <w:ilvl w:val="0"/>
          <w:numId w:val="25"/>
        </w:numPr>
        <w:ind w:left="1134"/>
        <w:rPr>
          <w:rFonts w:eastAsia="Calibri" w:cs="Arial"/>
          <w:bCs/>
        </w:rPr>
      </w:pPr>
      <w:r w:rsidRPr="004440C3">
        <w:rPr>
          <w:rFonts w:eastAsia="Calibri" w:cs="Arial"/>
          <w:bCs/>
        </w:rPr>
        <w:t>The Equality Act, 2010</w:t>
      </w:r>
    </w:p>
    <w:p w14:paraId="6D94A6ED" w14:textId="77777777" w:rsidR="004440C3" w:rsidRPr="004440C3" w:rsidRDefault="004440C3" w:rsidP="00E017D0">
      <w:pPr>
        <w:pStyle w:val="ListParagraph"/>
        <w:numPr>
          <w:ilvl w:val="0"/>
          <w:numId w:val="25"/>
        </w:numPr>
        <w:ind w:left="1134"/>
      </w:pPr>
      <w:r w:rsidRPr="004440C3">
        <w:t>The Control of Asbestos Regulations 2012 (CAR 2012)</w:t>
      </w:r>
    </w:p>
    <w:p w14:paraId="06F75801" w14:textId="0A8B73D9" w:rsidR="00994EDC" w:rsidRPr="004440C3" w:rsidRDefault="00994EDC" w:rsidP="00E017D0">
      <w:pPr>
        <w:pStyle w:val="ListParagraph"/>
        <w:numPr>
          <w:ilvl w:val="0"/>
          <w:numId w:val="25"/>
        </w:numPr>
        <w:ind w:left="1134"/>
      </w:pPr>
      <w:r w:rsidRPr="004440C3">
        <w:t>Homes (Fit for Human Habitation) Act 201</w:t>
      </w:r>
      <w:r w:rsidR="004440C3" w:rsidRPr="004440C3">
        <w:t>8</w:t>
      </w:r>
    </w:p>
    <w:p w14:paraId="0094E5B5" w14:textId="77777777" w:rsidR="004440C3" w:rsidRPr="004440C3" w:rsidRDefault="004440C3" w:rsidP="00E017D0">
      <w:pPr>
        <w:pStyle w:val="ListParagraph"/>
        <w:numPr>
          <w:ilvl w:val="0"/>
          <w:numId w:val="25"/>
        </w:numPr>
        <w:ind w:left="1134"/>
      </w:pPr>
      <w:r w:rsidRPr="004440C3">
        <w:t xml:space="preserve">The Building Regulations 2019 incorporating 2020 amendments, Approved Document B (Fire Safety) </w:t>
      </w:r>
    </w:p>
    <w:p w14:paraId="1DD4C050" w14:textId="15AF1FFF" w:rsidR="00994EDC" w:rsidRPr="004440C3" w:rsidRDefault="00994EDC" w:rsidP="00E017D0">
      <w:pPr>
        <w:pStyle w:val="ListParagraph"/>
        <w:numPr>
          <w:ilvl w:val="0"/>
          <w:numId w:val="25"/>
        </w:numPr>
        <w:ind w:left="1134"/>
      </w:pPr>
      <w:r w:rsidRPr="004440C3">
        <w:t>The Social Housing Regulation Act (2023)</w:t>
      </w:r>
      <w:r w:rsidR="00E017D0">
        <w:t xml:space="preserve"> including Awaab’s Law</w:t>
      </w:r>
    </w:p>
    <w:p w14:paraId="2A770F1D" w14:textId="0081D652" w:rsidR="004440C3" w:rsidRPr="004440C3" w:rsidRDefault="004440C3" w:rsidP="00E017D0">
      <w:pPr>
        <w:pStyle w:val="ListParagraph"/>
        <w:numPr>
          <w:ilvl w:val="0"/>
          <w:numId w:val="25"/>
        </w:numPr>
        <w:ind w:left="1134"/>
      </w:pPr>
      <w:r w:rsidRPr="004440C3">
        <w:lastRenderedPageBreak/>
        <w:t xml:space="preserve">The </w:t>
      </w:r>
      <w:r>
        <w:t>Regulator of Social Housing Consumer Standards</w:t>
      </w:r>
      <w:r w:rsidRPr="004440C3">
        <w:t xml:space="preserve"> </w:t>
      </w:r>
    </w:p>
    <w:p w14:paraId="36F6CB22" w14:textId="77777777" w:rsidR="007E1A07" w:rsidRPr="009D216F" w:rsidRDefault="007E1A07" w:rsidP="007E1A07">
      <w:pPr>
        <w:pStyle w:val="ListParagraph"/>
        <w:ind w:left="1287"/>
      </w:pPr>
    </w:p>
    <w:p w14:paraId="2A61B287" w14:textId="2F80F38F" w:rsidR="00EA3A9B" w:rsidRDefault="00C27278" w:rsidP="00EA3A9B">
      <w:pPr>
        <w:pStyle w:val="Heading1"/>
      </w:pPr>
      <w:r>
        <w:t>RELATED</w:t>
      </w:r>
      <w:r w:rsidR="007E1A07">
        <w:t xml:space="preserve"> POLICIES AND DOCUMENTS</w:t>
      </w:r>
    </w:p>
    <w:p w14:paraId="0AD6AA0C" w14:textId="3D1FB38B" w:rsidR="007E1A07" w:rsidRPr="007E1A07" w:rsidRDefault="007E1A07" w:rsidP="007E1A07">
      <w:pPr>
        <w:pStyle w:val="Heading2"/>
        <w:rPr>
          <w:rFonts w:ascii="Arial" w:hAnsi="Arial" w:cs="Arial"/>
          <w:b/>
        </w:rPr>
      </w:pPr>
      <w:r w:rsidRPr="00197828">
        <w:rPr>
          <w:rFonts w:ascii="Arial" w:hAnsi="Arial" w:cs="Arial"/>
        </w:rPr>
        <w:t xml:space="preserve">This </w:t>
      </w:r>
      <w:r w:rsidRPr="007E1A07">
        <w:rPr>
          <w:rFonts w:ascii="Arial" w:hAnsi="Arial" w:cs="Arial"/>
        </w:rPr>
        <w:t>policy and its delivery are linked to the following Council policies and documents</w:t>
      </w:r>
      <w:r w:rsidR="00E017D0">
        <w:rPr>
          <w:rFonts w:ascii="Arial" w:hAnsi="Arial" w:cs="Arial"/>
        </w:rPr>
        <w:t>:</w:t>
      </w:r>
      <w:r w:rsidRPr="007E1A07">
        <w:rPr>
          <w:rFonts w:ascii="Arial" w:hAnsi="Arial" w:cs="Arial"/>
        </w:rPr>
        <w:t xml:space="preserve"> </w:t>
      </w:r>
    </w:p>
    <w:p w14:paraId="1D1397CB" w14:textId="77777777" w:rsidR="00076A14" w:rsidRDefault="007E1A07" w:rsidP="00E017D0">
      <w:pPr>
        <w:pStyle w:val="ListParagraph"/>
        <w:numPr>
          <w:ilvl w:val="0"/>
          <w:numId w:val="13"/>
        </w:numPr>
        <w:ind w:left="1134"/>
      </w:pPr>
      <w:r w:rsidRPr="00100BFC">
        <w:t>Tenancy Agreement</w:t>
      </w:r>
    </w:p>
    <w:p w14:paraId="68465384" w14:textId="68168320" w:rsidR="007E1A07" w:rsidRPr="00100BFC" w:rsidRDefault="00076A14" w:rsidP="00E017D0">
      <w:pPr>
        <w:pStyle w:val="ListParagraph"/>
        <w:numPr>
          <w:ilvl w:val="0"/>
          <w:numId w:val="13"/>
        </w:numPr>
        <w:ind w:left="1134"/>
      </w:pPr>
      <w:r>
        <w:t xml:space="preserve">Lease Agreement </w:t>
      </w:r>
    </w:p>
    <w:p w14:paraId="56C9890E" w14:textId="38D8236C" w:rsidR="00DC625B" w:rsidRPr="00100BFC" w:rsidRDefault="00DC625B" w:rsidP="00E017D0">
      <w:pPr>
        <w:pStyle w:val="ListParagraph"/>
        <w:numPr>
          <w:ilvl w:val="0"/>
          <w:numId w:val="13"/>
        </w:numPr>
        <w:ind w:left="1134"/>
      </w:pPr>
      <w:r w:rsidRPr="00100BFC">
        <w:t>Gas Safety Policy</w:t>
      </w:r>
    </w:p>
    <w:p w14:paraId="6D936BFD" w14:textId="65AFEE8B" w:rsidR="00DC625B" w:rsidRPr="00100BFC" w:rsidRDefault="00DC625B" w:rsidP="00E017D0">
      <w:pPr>
        <w:pStyle w:val="ListParagraph"/>
        <w:numPr>
          <w:ilvl w:val="0"/>
          <w:numId w:val="13"/>
        </w:numPr>
        <w:ind w:left="1134"/>
      </w:pPr>
      <w:r w:rsidRPr="00100BFC">
        <w:t>Electrical Safety Policy</w:t>
      </w:r>
    </w:p>
    <w:p w14:paraId="4603FABF" w14:textId="49B45DF0" w:rsidR="00DC625B" w:rsidRPr="00100BFC" w:rsidRDefault="00DC625B" w:rsidP="00E017D0">
      <w:pPr>
        <w:pStyle w:val="ListParagraph"/>
        <w:numPr>
          <w:ilvl w:val="0"/>
          <w:numId w:val="13"/>
        </w:numPr>
        <w:ind w:left="1134"/>
      </w:pPr>
      <w:r w:rsidRPr="00100BFC">
        <w:t>Asbestos Policy</w:t>
      </w:r>
    </w:p>
    <w:p w14:paraId="27859427" w14:textId="2194259F" w:rsidR="00DC625B" w:rsidRDefault="00DC625B" w:rsidP="00E017D0">
      <w:pPr>
        <w:pStyle w:val="ListParagraph"/>
        <w:numPr>
          <w:ilvl w:val="0"/>
          <w:numId w:val="13"/>
        </w:numPr>
        <w:ind w:left="1134"/>
      </w:pPr>
      <w:r w:rsidRPr="00100BFC">
        <w:t>Legionella Policy</w:t>
      </w:r>
    </w:p>
    <w:p w14:paraId="58B01150" w14:textId="6603CED1" w:rsidR="008E332C" w:rsidRPr="00100BFC" w:rsidRDefault="008E332C" w:rsidP="00E017D0">
      <w:pPr>
        <w:pStyle w:val="ListParagraph"/>
        <w:numPr>
          <w:ilvl w:val="0"/>
          <w:numId w:val="13"/>
        </w:numPr>
        <w:ind w:left="1134"/>
      </w:pPr>
      <w:r>
        <w:t>Radon Policy</w:t>
      </w:r>
    </w:p>
    <w:p w14:paraId="4053D0CA" w14:textId="78018982" w:rsidR="00DC625B" w:rsidRPr="00100BFC" w:rsidRDefault="00DC625B" w:rsidP="00E017D0">
      <w:pPr>
        <w:pStyle w:val="ListParagraph"/>
        <w:numPr>
          <w:ilvl w:val="0"/>
          <w:numId w:val="13"/>
        </w:numPr>
        <w:ind w:left="1134"/>
      </w:pPr>
      <w:r w:rsidRPr="00100BFC">
        <w:t>Fire Safety Policy</w:t>
      </w:r>
    </w:p>
    <w:p w14:paraId="5836935C" w14:textId="265D315A" w:rsidR="007E1A07" w:rsidRPr="00100BFC" w:rsidRDefault="007E1A07" w:rsidP="00E017D0">
      <w:pPr>
        <w:pStyle w:val="ListParagraph"/>
        <w:numPr>
          <w:ilvl w:val="0"/>
          <w:numId w:val="13"/>
        </w:numPr>
        <w:ind w:left="1134"/>
      </w:pPr>
      <w:r w:rsidRPr="00100BFC">
        <w:t>Void Standard</w:t>
      </w:r>
    </w:p>
    <w:p w14:paraId="2D44CB0F" w14:textId="77777777" w:rsidR="008E332C" w:rsidRPr="00100BFC" w:rsidRDefault="008E332C" w:rsidP="00E017D0">
      <w:pPr>
        <w:pStyle w:val="ListParagraph"/>
        <w:numPr>
          <w:ilvl w:val="0"/>
          <w:numId w:val="13"/>
        </w:numPr>
        <w:ind w:left="1134"/>
      </w:pPr>
      <w:r w:rsidRPr="00100BFC">
        <w:t>Repairs &amp; Planned Maintenance Policy</w:t>
      </w:r>
    </w:p>
    <w:p w14:paraId="26D3CC41" w14:textId="4E52C94B" w:rsidR="008E332C" w:rsidRPr="003545EA" w:rsidRDefault="008E332C" w:rsidP="00E017D0">
      <w:pPr>
        <w:pStyle w:val="ListParagraph"/>
        <w:numPr>
          <w:ilvl w:val="0"/>
          <w:numId w:val="13"/>
        </w:numPr>
        <w:ind w:left="1134"/>
      </w:pPr>
      <w:r w:rsidRPr="003545EA">
        <w:t>Recharge Policy</w:t>
      </w:r>
      <w:r w:rsidR="005E2CE4" w:rsidRPr="003545EA">
        <w:t xml:space="preserve"> </w:t>
      </w:r>
    </w:p>
    <w:p w14:paraId="3E8909D9" w14:textId="77777777" w:rsidR="008E332C" w:rsidRPr="008E332C" w:rsidRDefault="008E332C" w:rsidP="00E017D0">
      <w:pPr>
        <w:pStyle w:val="ListParagraph"/>
        <w:numPr>
          <w:ilvl w:val="0"/>
          <w:numId w:val="13"/>
        </w:numPr>
        <w:ind w:left="1134"/>
      </w:pPr>
      <w:r w:rsidRPr="008E332C">
        <w:t>Empty Council Homes Policy</w:t>
      </w:r>
    </w:p>
    <w:p w14:paraId="0109E1D7" w14:textId="2B7B0241" w:rsidR="008E332C" w:rsidRPr="00100BFC" w:rsidRDefault="008E332C" w:rsidP="00E017D0">
      <w:pPr>
        <w:pStyle w:val="ListParagraph"/>
        <w:numPr>
          <w:ilvl w:val="0"/>
          <w:numId w:val="13"/>
        </w:numPr>
        <w:ind w:left="1134"/>
      </w:pPr>
      <w:r w:rsidRPr="008E332C">
        <w:t xml:space="preserve">The Council Plan </w:t>
      </w:r>
    </w:p>
    <w:p w14:paraId="12A048EB" w14:textId="3F142C90" w:rsidR="00EA3A9B" w:rsidRDefault="00C0257E" w:rsidP="00EA3A9B">
      <w:pPr>
        <w:pStyle w:val="Heading1"/>
      </w:pPr>
      <w:r>
        <w:t>EQUALITY</w:t>
      </w:r>
      <w:r w:rsidR="007177FD">
        <w:t>, DIVERSITY AND INCLUSION</w:t>
      </w:r>
    </w:p>
    <w:p w14:paraId="4F444DFB" w14:textId="19658F56" w:rsidR="007177FD" w:rsidRDefault="007177FD" w:rsidP="007177FD">
      <w:pPr>
        <w:pStyle w:val="Heading2"/>
      </w:pPr>
      <w:r>
        <w:t>Equality Impact Assessment</w:t>
      </w:r>
    </w:p>
    <w:p w14:paraId="6CFE9EA5" w14:textId="5CE76F7D" w:rsidR="007D084F" w:rsidRDefault="007D084F" w:rsidP="007D084F">
      <w:pPr>
        <w:pStyle w:val="Heading2"/>
        <w:rPr>
          <w:rFonts w:ascii="Arial" w:hAnsi="Arial" w:cs="Arial"/>
          <w:b/>
        </w:rPr>
      </w:pPr>
      <w:r>
        <w:rPr>
          <w:rFonts w:ascii="Arial" w:hAnsi="Arial" w:cs="Arial"/>
        </w:rPr>
        <w:t xml:space="preserve">An Equality Impact Assessment has been completed as part of the development of this policy and its procedure. This did not reveal any envisioned impact for any of the protected characteristics, and it acknowledged that this policy does not introduce anything new but rather explains existing arrangements for legal access more fully and transparently, with the aim of improving the access particularly where there is a health and safety implication. </w:t>
      </w:r>
    </w:p>
    <w:p w14:paraId="3B9C879F" w14:textId="7DC0843D" w:rsidR="000336BE" w:rsidRPr="000336BE" w:rsidRDefault="00DA5F42" w:rsidP="007D084F">
      <w:pPr>
        <w:pStyle w:val="Heading2"/>
        <w:rPr>
          <w:rFonts w:ascii="Arial" w:hAnsi="Arial" w:cs="Arial"/>
          <w:b/>
        </w:rPr>
      </w:pPr>
      <w:r>
        <w:rPr>
          <w:rFonts w:ascii="Arial" w:hAnsi="Arial" w:cs="Arial"/>
        </w:rPr>
        <w:t>SDC</w:t>
      </w:r>
      <w:r w:rsidR="007D084F">
        <w:rPr>
          <w:rFonts w:ascii="Arial" w:hAnsi="Arial" w:cs="Arial"/>
        </w:rPr>
        <w:t xml:space="preserve"> services have arrangements in place to make and amend appointments</w:t>
      </w:r>
      <w:r w:rsidR="000336BE">
        <w:rPr>
          <w:rFonts w:ascii="Arial" w:hAnsi="Arial" w:cs="Arial"/>
        </w:rPr>
        <w:t xml:space="preserve"> at times that are mutually agreeable and with plenty of notice. This ensures that arrangements are in place to adjust </w:t>
      </w:r>
      <w:r w:rsidR="00242B56">
        <w:rPr>
          <w:rFonts w:ascii="Arial" w:hAnsi="Arial" w:cs="Arial"/>
        </w:rPr>
        <w:t xml:space="preserve">and support vulnerable residents to give SDC access. </w:t>
      </w:r>
    </w:p>
    <w:sectPr w:rsidR="000336BE" w:rsidRPr="000336BE" w:rsidSect="00F42AA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708" w:footer="3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F12D" w14:textId="7B0A9AFC" w:rsidR="0038752B" w:rsidRPr="006378E9" w:rsidRDefault="0038752B" w:rsidP="006378E9">
      <w:pPr>
        <w:pStyle w:val="Footer"/>
      </w:pPr>
    </w:p>
  </w:endnote>
  <w:endnote w:type="continuationSeparator" w:id="0">
    <w:p w14:paraId="357CD98F" w14:textId="37A4EC0E" w:rsidR="0038752B" w:rsidRPr="006378E9" w:rsidRDefault="0038752B" w:rsidP="006378E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A624" w14:textId="77777777" w:rsidR="003545EA" w:rsidRDefault="0035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6"/>
        <w:szCs w:val="16"/>
      </w:rPr>
      <w:id w:val="1512723869"/>
      <w:docPartObj>
        <w:docPartGallery w:val="Page Numbers (Bottom of Page)"/>
        <w:docPartUnique/>
      </w:docPartObj>
    </w:sdtPr>
    <w:sdtEndPr/>
    <w:sdtContent>
      <w:sdt>
        <w:sdtPr>
          <w:rPr>
            <w:rFonts w:cs="Arial"/>
            <w:sz w:val="16"/>
            <w:szCs w:val="16"/>
          </w:rPr>
          <w:id w:val="-972282060"/>
          <w:docPartObj>
            <w:docPartGallery w:val="Page Numbers (Top of Page)"/>
            <w:docPartUnique/>
          </w:docPartObj>
        </w:sdtPr>
        <w:sdtEndPr/>
        <w:sdtContent>
          <w:p w14:paraId="750BCF6B" w14:textId="6F0855CE" w:rsidR="00F70D6B" w:rsidRDefault="00F82282">
            <w:pPr>
              <w:pStyle w:val="Footer"/>
              <w:rPr>
                <w:rFonts w:cs="Arial"/>
                <w:sz w:val="18"/>
                <w:szCs w:val="16"/>
              </w:rPr>
            </w:pPr>
            <w:r>
              <w:rPr>
                <w:rFonts w:cs="Arial"/>
                <w:sz w:val="18"/>
                <w:szCs w:val="16"/>
              </w:rPr>
              <w:t>Gaining Access Policy</w:t>
            </w:r>
          </w:p>
          <w:p w14:paraId="0C46BB34" w14:textId="067C9925" w:rsidR="00F42AA8" w:rsidRPr="00F70D6B" w:rsidRDefault="00F42AA8">
            <w:pPr>
              <w:pStyle w:val="Footer"/>
              <w:rPr>
                <w:rFonts w:cs="Arial"/>
                <w:sz w:val="18"/>
                <w:szCs w:val="16"/>
              </w:rPr>
            </w:pPr>
            <w:r>
              <w:rPr>
                <w:rFonts w:cs="Arial"/>
                <w:sz w:val="16"/>
                <w:szCs w:val="16"/>
              </w:rPr>
              <w:t>Stroud District Council</w:t>
            </w:r>
          </w:p>
          <w:p w14:paraId="1088626E" w14:textId="2C1E85BA" w:rsidR="00F42AA8" w:rsidRPr="00F82282" w:rsidRDefault="00F82282">
            <w:pPr>
              <w:pStyle w:val="Footer"/>
              <w:rPr>
                <w:rFonts w:cs="Arial"/>
                <w:i/>
                <w:iCs/>
                <w:sz w:val="16"/>
                <w:szCs w:val="16"/>
              </w:rPr>
            </w:pPr>
            <w:r>
              <w:rPr>
                <w:rFonts w:cs="Arial"/>
                <w:i/>
                <w:iCs/>
                <w:sz w:val="16"/>
                <w:szCs w:val="16"/>
              </w:rPr>
              <w:t>November 2024</w:t>
            </w:r>
          </w:p>
          <w:p w14:paraId="5B34D3B3" w14:textId="3DB98FE6" w:rsidR="0038752B" w:rsidRPr="0038752B" w:rsidRDefault="0038752B" w:rsidP="00F42AA8">
            <w:pPr>
              <w:pStyle w:val="Footer"/>
              <w:jc w:val="right"/>
              <w:rPr>
                <w:rFonts w:cs="Arial"/>
                <w:sz w:val="16"/>
                <w:szCs w:val="16"/>
              </w:rPr>
            </w:pPr>
            <w:r w:rsidRPr="0038752B">
              <w:rPr>
                <w:rFonts w:cs="Arial"/>
                <w:sz w:val="16"/>
                <w:szCs w:val="16"/>
              </w:rPr>
              <w:t xml:space="preserve">Page </w:t>
            </w:r>
            <w:r w:rsidRPr="0038752B">
              <w:rPr>
                <w:rFonts w:cs="Arial"/>
                <w:b/>
                <w:bCs/>
                <w:sz w:val="16"/>
                <w:szCs w:val="16"/>
              </w:rPr>
              <w:fldChar w:fldCharType="begin"/>
            </w:r>
            <w:r w:rsidRPr="0038752B">
              <w:rPr>
                <w:rFonts w:cs="Arial"/>
                <w:b/>
                <w:bCs/>
                <w:sz w:val="16"/>
                <w:szCs w:val="16"/>
              </w:rPr>
              <w:instrText xml:space="preserve"> PAGE </w:instrText>
            </w:r>
            <w:r w:rsidRPr="0038752B">
              <w:rPr>
                <w:rFonts w:cs="Arial"/>
                <w:b/>
                <w:bCs/>
                <w:sz w:val="16"/>
                <w:szCs w:val="16"/>
              </w:rPr>
              <w:fldChar w:fldCharType="separate"/>
            </w:r>
            <w:r w:rsidR="006D7C8A">
              <w:rPr>
                <w:rFonts w:cs="Arial"/>
                <w:b/>
                <w:bCs/>
                <w:noProof/>
                <w:sz w:val="16"/>
                <w:szCs w:val="16"/>
              </w:rPr>
              <w:t>3</w:t>
            </w:r>
            <w:r w:rsidRPr="0038752B">
              <w:rPr>
                <w:rFonts w:cs="Arial"/>
                <w:b/>
                <w:bCs/>
                <w:sz w:val="16"/>
                <w:szCs w:val="16"/>
              </w:rPr>
              <w:fldChar w:fldCharType="end"/>
            </w:r>
            <w:r w:rsidRPr="0038752B">
              <w:rPr>
                <w:rFonts w:cs="Arial"/>
                <w:sz w:val="16"/>
                <w:szCs w:val="16"/>
              </w:rPr>
              <w:t xml:space="preserve"> of </w:t>
            </w:r>
            <w:r w:rsidRPr="0038752B">
              <w:rPr>
                <w:rFonts w:cs="Arial"/>
                <w:b/>
                <w:bCs/>
                <w:sz w:val="16"/>
                <w:szCs w:val="16"/>
              </w:rPr>
              <w:fldChar w:fldCharType="begin"/>
            </w:r>
            <w:r w:rsidRPr="0038752B">
              <w:rPr>
                <w:rFonts w:cs="Arial"/>
                <w:b/>
                <w:bCs/>
                <w:sz w:val="16"/>
                <w:szCs w:val="16"/>
              </w:rPr>
              <w:instrText xml:space="preserve"> NUMPAGES  </w:instrText>
            </w:r>
            <w:r w:rsidRPr="0038752B">
              <w:rPr>
                <w:rFonts w:cs="Arial"/>
                <w:b/>
                <w:bCs/>
                <w:sz w:val="16"/>
                <w:szCs w:val="16"/>
              </w:rPr>
              <w:fldChar w:fldCharType="separate"/>
            </w:r>
            <w:r w:rsidR="006D7C8A">
              <w:rPr>
                <w:rFonts w:cs="Arial"/>
                <w:b/>
                <w:bCs/>
                <w:noProof/>
                <w:sz w:val="16"/>
                <w:szCs w:val="16"/>
              </w:rPr>
              <w:t>4</w:t>
            </w:r>
            <w:r w:rsidRPr="0038752B">
              <w:rPr>
                <w:rFonts w:cs="Arial"/>
                <w:b/>
                <w:bCs/>
                <w:sz w:val="16"/>
                <w:szCs w:val="16"/>
              </w:rPr>
              <w:fldChar w:fldCharType="end"/>
            </w:r>
          </w:p>
        </w:sdtContent>
      </w:sdt>
    </w:sdtContent>
  </w:sdt>
  <w:p w14:paraId="14AA6DA5" w14:textId="77777777" w:rsidR="0038752B" w:rsidRDefault="0038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818D" w14:textId="77777777" w:rsidR="003545EA" w:rsidRDefault="0035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6B89" w14:textId="77777777" w:rsidR="0038752B" w:rsidRDefault="0038752B" w:rsidP="0038752B">
      <w:pPr>
        <w:spacing w:after="0"/>
      </w:pPr>
      <w:r>
        <w:separator/>
      </w:r>
    </w:p>
  </w:footnote>
  <w:footnote w:type="continuationSeparator" w:id="0">
    <w:p w14:paraId="7E4F4DF6" w14:textId="77777777" w:rsidR="0038752B" w:rsidRDefault="0038752B" w:rsidP="0038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27CA" w14:textId="77777777" w:rsidR="003545EA" w:rsidRDefault="0035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96D7" w14:textId="4FE5C53F" w:rsidR="00B16FC9" w:rsidRDefault="00B16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86BA" w14:textId="672B72EE" w:rsidR="003545EA" w:rsidRDefault="0035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F3C"/>
    <w:multiLevelType w:val="hybridMultilevel"/>
    <w:tmpl w:val="A5F4F1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23F30"/>
    <w:multiLevelType w:val="hybridMultilevel"/>
    <w:tmpl w:val="8FE0185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805202"/>
    <w:multiLevelType w:val="hybridMultilevel"/>
    <w:tmpl w:val="695A3DA8"/>
    <w:lvl w:ilvl="0" w:tplc="1AE05F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F740B"/>
    <w:multiLevelType w:val="hybridMultilevel"/>
    <w:tmpl w:val="DFC4F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BB493E"/>
    <w:multiLevelType w:val="hybridMultilevel"/>
    <w:tmpl w:val="4B288A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280C88"/>
    <w:multiLevelType w:val="hybridMultilevel"/>
    <w:tmpl w:val="BA9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32084"/>
    <w:multiLevelType w:val="hybridMultilevel"/>
    <w:tmpl w:val="4DD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74539"/>
    <w:multiLevelType w:val="multilevel"/>
    <w:tmpl w:val="6AB87B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C1F64"/>
    <w:multiLevelType w:val="hybridMultilevel"/>
    <w:tmpl w:val="EFE2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84E6F"/>
    <w:multiLevelType w:val="multilevel"/>
    <w:tmpl w:val="C8AE49C6"/>
    <w:lvl w:ilvl="0">
      <w:start w:val="1"/>
      <w:numFmt w:val="decimal"/>
      <w:lvlText w:val="%1."/>
      <w:lvlJc w:val="left"/>
      <w:pPr>
        <w:ind w:left="360" w:hanging="360"/>
      </w:pPr>
      <w:rPr>
        <w:rFonts w:hint="default"/>
        <w:b/>
        <w:i w:val="0"/>
        <w:spacing w:val="0"/>
        <w:position w:val="0"/>
        <w:sz w:val="24"/>
        <w:szCs w:val="20"/>
      </w:rPr>
    </w:lvl>
    <w:lvl w:ilvl="1">
      <w:start w:val="1"/>
      <w:numFmt w:val="decimal"/>
      <w:lvlText w:val="%1.%2"/>
      <w:lvlJc w:val="left"/>
      <w:pPr>
        <w:tabs>
          <w:tab w:val="num" w:pos="3553"/>
        </w:tabs>
        <w:ind w:left="3553" w:hanging="576"/>
      </w:pPr>
      <w:rPr>
        <w:i w:val="0"/>
      </w:rPr>
    </w:lvl>
    <w:lvl w:ilvl="2">
      <w:start w:val="1"/>
      <w:numFmt w:val="decimal"/>
      <w:lvlText w:val="%1.%2.%3"/>
      <w:lvlJc w:val="left"/>
      <w:pPr>
        <w:tabs>
          <w:tab w:val="num" w:pos="862"/>
        </w:tabs>
        <w:ind w:left="862" w:hanging="720"/>
      </w:pPr>
      <w:rPr>
        <w:sz w:val="20"/>
        <w:szCs w:val="20"/>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rPr>
        <w:rFonts w:hint="default"/>
        <w:b w:val="0"/>
        <w:sz w:val="20"/>
        <w:szCs w:val="20"/>
      </w:rPr>
    </w:lvl>
    <w:lvl w:ilvl="5">
      <w:start w:val="1"/>
      <w:numFmt w:val="lowerRoman"/>
      <w:lvlText w:val="(%6)"/>
      <w:lvlJc w:val="left"/>
      <w:pPr>
        <w:tabs>
          <w:tab w:val="num" w:pos="1152"/>
        </w:tabs>
        <w:ind w:left="1152" w:hanging="1152"/>
      </w:pPr>
      <w:rPr>
        <w:rFonts w:hint="default"/>
      </w:rPr>
    </w:lvl>
    <w:lvl w:ilvl="6">
      <w:start w:val="1"/>
      <w:numFmt w:val="upperLetter"/>
      <w:lvlText w:val="%7."/>
      <w:lvlJc w:val="left"/>
      <w:pPr>
        <w:tabs>
          <w:tab w:val="num" w:pos="1296"/>
        </w:tabs>
        <w:ind w:left="1296" w:hanging="1296"/>
      </w:pPr>
      <w:rPr>
        <w:rFonts w:hint="default"/>
        <w:i w:val="0"/>
      </w:rPr>
    </w:lvl>
    <w:lvl w:ilvl="7">
      <w:start w:val="1"/>
      <w:numFmt w:val="lowerRoman"/>
      <w:lvlText w:val="(%8)"/>
      <w:lvlJc w:val="left"/>
      <w:pPr>
        <w:tabs>
          <w:tab w:val="num" w:pos="1440"/>
        </w:tabs>
        <w:ind w:left="1440" w:hanging="1440"/>
      </w:pPr>
      <w:rPr>
        <w:rFonts w:ascii="Arial" w:hAnsi="Arial" w:cs="Arial" w:hint="default"/>
      </w:rPr>
    </w:lvl>
    <w:lvl w:ilvl="8">
      <w:start w:val="1"/>
      <w:numFmt w:val="decimal"/>
      <w:lvlText w:val="%1.%2.%3.%4.%5.%6.%7.%8.%9"/>
      <w:lvlJc w:val="left"/>
      <w:pPr>
        <w:tabs>
          <w:tab w:val="num" w:pos="1584"/>
        </w:tabs>
        <w:ind w:left="1584" w:hanging="1584"/>
      </w:pPr>
    </w:lvl>
  </w:abstractNum>
  <w:abstractNum w:abstractNumId="10" w15:restartNumberingAfterBreak="0">
    <w:nsid w:val="41CA2A3F"/>
    <w:multiLevelType w:val="hybridMultilevel"/>
    <w:tmpl w:val="24564C48"/>
    <w:lvl w:ilvl="0" w:tplc="CF24409C">
      <w:start w:val="1"/>
      <w:numFmt w:val="bullet"/>
      <w:lvlText w:val=""/>
      <w:lvlJc w:val="left"/>
      <w:pPr>
        <w:ind w:left="720" w:hanging="360"/>
      </w:pPr>
      <w:rPr>
        <w:rFonts w:ascii="Symbol" w:hAnsi="Symbo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A93D0E"/>
    <w:multiLevelType w:val="hybridMultilevel"/>
    <w:tmpl w:val="E56293B2"/>
    <w:lvl w:ilvl="0" w:tplc="FFFFFFFF">
      <w:start w:val="1"/>
      <w:numFmt w:val="lowerLetter"/>
      <w:lvlText w:val="(%1)"/>
      <w:lvlJc w:val="left"/>
      <w:pPr>
        <w:ind w:left="585" w:hanging="360"/>
      </w:pPr>
      <w:rPr>
        <w:rFonts w:hint="default"/>
      </w:rPr>
    </w:lvl>
    <w:lvl w:ilvl="1" w:tplc="08090001">
      <w:start w:val="1"/>
      <w:numFmt w:val="bullet"/>
      <w:lvlText w:val=""/>
      <w:lvlJc w:val="left"/>
      <w:pPr>
        <w:ind w:left="1305" w:hanging="360"/>
      </w:pPr>
      <w:rPr>
        <w:rFonts w:ascii="Symbol" w:hAnsi="Symbol" w:hint="default"/>
      </w:rPr>
    </w:lvl>
    <w:lvl w:ilvl="2" w:tplc="FFFFFFFF">
      <w:start w:val="1"/>
      <w:numFmt w:val="lowerRoman"/>
      <w:lvlText w:val="%3."/>
      <w:lvlJc w:val="right"/>
      <w:pPr>
        <w:ind w:left="2025" w:hanging="180"/>
      </w:pPr>
    </w:lvl>
    <w:lvl w:ilvl="3" w:tplc="FFFFFFFF">
      <w:numFmt w:val="bullet"/>
      <w:lvlText w:val="-"/>
      <w:lvlJc w:val="left"/>
      <w:pPr>
        <w:ind w:left="2745" w:hanging="360"/>
      </w:pPr>
      <w:rPr>
        <w:rFonts w:ascii="Arial" w:eastAsiaTheme="minorHAnsi" w:hAnsi="Arial" w:cs="Arial" w:hint="default"/>
      </w:r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12" w15:restartNumberingAfterBreak="0">
    <w:nsid w:val="4547712A"/>
    <w:multiLevelType w:val="multilevel"/>
    <w:tmpl w:val="F87A02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CEE7F06"/>
    <w:multiLevelType w:val="hybridMultilevel"/>
    <w:tmpl w:val="9F96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F711F"/>
    <w:multiLevelType w:val="hybridMultilevel"/>
    <w:tmpl w:val="25E65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201640"/>
    <w:multiLevelType w:val="hybridMultilevel"/>
    <w:tmpl w:val="FDAA25A6"/>
    <w:lvl w:ilvl="0" w:tplc="E9F4B744">
      <w:start w:val="1"/>
      <w:numFmt w:val="bullet"/>
      <w:lvlText w:val="-"/>
      <w:lvlJc w:val="left"/>
      <w:pPr>
        <w:ind w:left="720" w:hanging="360"/>
      </w:pPr>
      <w:rPr>
        <w:rFonts w:ascii="Arial" w:eastAsiaTheme="majorEastAsia" w:hAnsi="Arial" w:cs="Arial" w:hint="default"/>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2A5C3C"/>
    <w:multiLevelType w:val="hybridMultilevel"/>
    <w:tmpl w:val="04A22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240AD"/>
    <w:multiLevelType w:val="hybridMultilevel"/>
    <w:tmpl w:val="E7D0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D7E66"/>
    <w:multiLevelType w:val="hybridMultilevel"/>
    <w:tmpl w:val="D6AC2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DF45A8"/>
    <w:multiLevelType w:val="hybridMultilevel"/>
    <w:tmpl w:val="1058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A6A24"/>
    <w:multiLevelType w:val="hybridMultilevel"/>
    <w:tmpl w:val="8B98C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334F4"/>
    <w:multiLevelType w:val="hybridMultilevel"/>
    <w:tmpl w:val="E1F6191A"/>
    <w:lvl w:ilvl="0" w:tplc="78CA59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8233035"/>
    <w:multiLevelType w:val="hybridMultilevel"/>
    <w:tmpl w:val="5A865DDA"/>
    <w:lvl w:ilvl="0" w:tplc="5D54F2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66286"/>
    <w:multiLevelType w:val="hybridMultilevel"/>
    <w:tmpl w:val="DF8CAAE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7A107ED4"/>
    <w:multiLevelType w:val="hybridMultilevel"/>
    <w:tmpl w:val="BA34E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31034A"/>
    <w:multiLevelType w:val="hybridMultilevel"/>
    <w:tmpl w:val="66FAEA72"/>
    <w:lvl w:ilvl="0" w:tplc="652E28EC">
      <w:start w:val="1"/>
      <w:numFmt w:val="lowerLetter"/>
      <w:pStyle w:val="Heading50"/>
      <w:lvlText w:val="(%1)"/>
      <w:lvlJc w:val="left"/>
      <w:pPr>
        <w:ind w:left="585" w:hanging="360"/>
      </w:pPr>
      <w:rPr>
        <w:rFonts w:hint="default"/>
      </w:rPr>
    </w:lvl>
    <w:lvl w:ilvl="1" w:tplc="08090019">
      <w:start w:val="1"/>
      <w:numFmt w:val="lowerLetter"/>
      <w:lvlText w:val="%2."/>
      <w:lvlJc w:val="left"/>
      <w:pPr>
        <w:ind w:left="1305" w:hanging="360"/>
      </w:pPr>
    </w:lvl>
    <w:lvl w:ilvl="2" w:tplc="0809001B">
      <w:start w:val="1"/>
      <w:numFmt w:val="lowerRoman"/>
      <w:lvlText w:val="%3."/>
      <w:lvlJc w:val="right"/>
      <w:pPr>
        <w:ind w:left="2025" w:hanging="180"/>
      </w:pPr>
    </w:lvl>
    <w:lvl w:ilvl="3" w:tplc="D4507872">
      <w:numFmt w:val="bullet"/>
      <w:lvlText w:val="-"/>
      <w:lvlJc w:val="left"/>
      <w:pPr>
        <w:ind w:left="2745" w:hanging="360"/>
      </w:pPr>
      <w:rPr>
        <w:rFonts w:ascii="Arial" w:eastAsiaTheme="minorHAnsi" w:hAnsi="Arial" w:cs="Arial" w:hint="default"/>
      </w:r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6" w15:restartNumberingAfterBreak="0">
    <w:nsid w:val="7E4A4364"/>
    <w:multiLevelType w:val="hybridMultilevel"/>
    <w:tmpl w:val="367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034155">
    <w:abstractNumId w:val="16"/>
  </w:num>
  <w:num w:numId="2" w16cid:durableId="1581712357">
    <w:abstractNumId w:val="21"/>
  </w:num>
  <w:num w:numId="3" w16cid:durableId="566259177">
    <w:abstractNumId w:val="22"/>
  </w:num>
  <w:num w:numId="4" w16cid:durableId="1598363232">
    <w:abstractNumId w:val="2"/>
  </w:num>
  <w:num w:numId="5" w16cid:durableId="735326069">
    <w:abstractNumId w:val="14"/>
  </w:num>
  <w:num w:numId="6" w16cid:durableId="877742875">
    <w:abstractNumId w:val="4"/>
  </w:num>
  <w:num w:numId="7" w16cid:durableId="1517037441">
    <w:abstractNumId w:val="7"/>
  </w:num>
  <w:num w:numId="8" w16cid:durableId="1544171270">
    <w:abstractNumId w:val="9"/>
  </w:num>
  <w:num w:numId="9" w16cid:durableId="1888567360">
    <w:abstractNumId w:val="12"/>
  </w:num>
  <w:num w:numId="10" w16cid:durableId="1839038163">
    <w:abstractNumId w:val="25"/>
  </w:num>
  <w:num w:numId="11" w16cid:durableId="1035078590">
    <w:abstractNumId w:val="25"/>
    <w:lvlOverride w:ilvl="0">
      <w:startOverride w:val="1"/>
    </w:lvlOverride>
  </w:num>
  <w:num w:numId="12" w16cid:durableId="1152985478">
    <w:abstractNumId w:val="25"/>
    <w:lvlOverride w:ilvl="0">
      <w:startOverride w:val="1"/>
    </w:lvlOverride>
  </w:num>
  <w:num w:numId="13" w16cid:durableId="565383368">
    <w:abstractNumId w:val="3"/>
  </w:num>
  <w:num w:numId="14" w16cid:durableId="160896566">
    <w:abstractNumId w:val="0"/>
  </w:num>
  <w:num w:numId="15" w16cid:durableId="1130393450">
    <w:abstractNumId w:val="24"/>
  </w:num>
  <w:num w:numId="16" w16cid:durableId="1381511779">
    <w:abstractNumId w:val="8"/>
  </w:num>
  <w:num w:numId="17" w16cid:durableId="91095789">
    <w:abstractNumId w:val="17"/>
  </w:num>
  <w:num w:numId="18" w16cid:durableId="1311976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3597643">
    <w:abstractNumId w:val="11"/>
  </w:num>
  <w:num w:numId="20" w16cid:durableId="12348576">
    <w:abstractNumId w:val="25"/>
  </w:num>
  <w:num w:numId="21" w16cid:durableId="1965576729">
    <w:abstractNumId w:val="25"/>
  </w:num>
  <w:num w:numId="22" w16cid:durableId="1834487904">
    <w:abstractNumId w:val="19"/>
  </w:num>
  <w:num w:numId="23" w16cid:durableId="607544923">
    <w:abstractNumId w:val="20"/>
  </w:num>
  <w:num w:numId="24" w16cid:durableId="1681393476">
    <w:abstractNumId w:val="26"/>
  </w:num>
  <w:num w:numId="25" w16cid:durableId="1727990940">
    <w:abstractNumId w:val="13"/>
  </w:num>
  <w:num w:numId="26" w16cid:durableId="2112503079">
    <w:abstractNumId w:val="23"/>
  </w:num>
  <w:num w:numId="27" w16cid:durableId="608009692">
    <w:abstractNumId w:val="6"/>
  </w:num>
  <w:num w:numId="28" w16cid:durableId="2037809039">
    <w:abstractNumId w:val="25"/>
  </w:num>
  <w:num w:numId="29" w16cid:durableId="1754156691">
    <w:abstractNumId w:val="12"/>
  </w:num>
  <w:num w:numId="30" w16cid:durableId="1869218875">
    <w:abstractNumId w:val="12"/>
  </w:num>
  <w:num w:numId="31" w16cid:durableId="979115349">
    <w:abstractNumId w:val="12"/>
  </w:num>
  <w:num w:numId="32" w16cid:durableId="1583031543">
    <w:abstractNumId w:val="12"/>
  </w:num>
  <w:num w:numId="33" w16cid:durableId="354581624">
    <w:abstractNumId w:val="12"/>
  </w:num>
  <w:num w:numId="34" w16cid:durableId="372267554">
    <w:abstractNumId w:val="5"/>
  </w:num>
  <w:num w:numId="35" w16cid:durableId="1200046540">
    <w:abstractNumId w:val="15"/>
  </w:num>
  <w:num w:numId="36" w16cid:durableId="673580815">
    <w:abstractNumId w:val="18"/>
  </w:num>
  <w:num w:numId="37" w16cid:durableId="1622879716">
    <w:abstractNumId w:val="1"/>
  </w:num>
  <w:num w:numId="38" w16cid:durableId="2089956369">
    <w:abstractNumId w:val="10"/>
  </w:num>
  <w:num w:numId="39" w16cid:durableId="328413298">
    <w:abstractNumId w:val="25"/>
  </w:num>
  <w:num w:numId="40" w16cid:durableId="1568300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CA"/>
    <w:rsid w:val="00025D44"/>
    <w:rsid w:val="0002649D"/>
    <w:rsid w:val="000336BE"/>
    <w:rsid w:val="000454ED"/>
    <w:rsid w:val="00046685"/>
    <w:rsid w:val="00054BE9"/>
    <w:rsid w:val="00060C82"/>
    <w:rsid w:val="00070A33"/>
    <w:rsid w:val="00076A14"/>
    <w:rsid w:val="0008214F"/>
    <w:rsid w:val="000B6366"/>
    <w:rsid w:val="00100BFC"/>
    <w:rsid w:val="0016097A"/>
    <w:rsid w:val="00163B54"/>
    <w:rsid w:val="001765B6"/>
    <w:rsid w:val="0017762F"/>
    <w:rsid w:val="0019315E"/>
    <w:rsid w:val="001A2491"/>
    <w:rsid w:val="001C44AC"/>
    <w:rsid w:val="001C4F53"/>
    <w:rsid w:val="001D43A4"/>
    <w:rsid w:val="001F7FE2"/>
    <w:rsid w:val="002033AF"/>
    <w:rsid w:val="0020632E"/>
    <w:rsid w:val="00222F59"/>
    <w:rsid w:val="00224157"/>
    <w:rsid w:val="002418E5"/>
    <w:rsid w:val="00242B56"/>
    <w:rsid w:val="00276D71"/>
    <w:rsid w:val="002C1190"/>
    <w:rsid w:val="002E06BC"/>
    <w:rsid w:val="00310AD9"/>
    <w:rsid w:val="00317BB3"/>
    <w:rsid w:val="00335651"/>
    <w:rsid w:val="00337EB5"/>
    <w:rsid w:val="003402DE"/>
    <w:rsid w:val="003528D6"/>
    <w:rsid w:val="003545EA"/>
    <w:rsid w:val="00367F7F"/>
    <w:rsid w:val="00370335"/>
    <w:rsid w:val="0038752B"/>
    <w:rsid w:val="003A501F"/>
    <w:rsid w:val="003B1986"/>
    <w:rsid w:val="004129CF"/>
    <w:rsid w:val="004138A6"/>
    <w:rsid w:val="00437C00"/>
    <w:rsid w:val="00441F80"/>
    <w:rsid w:val="004440C3"/>
    <w:rsid w:val="0045094D"/>
    <w:rsid w:val="00467E4C"/>
    <w:rsid w:val="00467F69"/>
    <w:rsid w:val="0047448A"/>
    <w:rsid w:val="004A5170"/>
    <w:rsid w:val="004A583C"/>
    <w:rsid w:val="004C43E0"/>
    <w:rsid w:val="004C4A4F"/>
    <w:rsid w:val="004C56FC"/>
    <w:rsid w:val="004F2504"/>
    <w:rsid w:val="004F5781"/>
    <w:rsid w:val="00526D73"/>
    <w:rsid w:val="00532EBD"/>
    <w:rsid w:val="0057496E"/>
    <w:rsid w:val="005960C4"/>
    <w:rsid w:val="005A2FCD"/>
    <w:rsid w:val="005C0DB9"/>
    <w:rsid w:val="005C66A8"/>
    <w:rsid w:val="005D455A"/>
    <w:rsid w:val="005E2CE4"/>
    <w:rsid w:val="005E7398"/>
    <w:rsid w:val="005E7BB2"/>
    <w:rsid w:val="005E7E23"/>
    <w:rsid w:val="005F17F4"/>
    <w:rsid w:val="005F2FA5"/>
    <w:rsid w:val="005F3F47"/>
    <w:rsid w:val="00604F66"/>
    <w:rsid w:val="006106E4"/>
    <w:rsid w:val="006378E9"/>
    <w:rsid w:val="006459E9"/>
    <w:rsid w:val="0066347E"/>
    <w:rsid w:val="0066694D"/>
    <w:rsid w:val="0067434A"/>
    <w:rsid w:val="006A3C68"/>
    <w:rsid w:val="006A47A7"/>
    <w:rsid w:val="006B2648"/>
    <w:rsid w:val="006D209D"/>
    <w:rsid w:val="006D7C8A"/>
    <w:rsid w:val="007072CA"/>
    <w:rsid w:val="007129D3"/>
    <w:rsid w:val="007177FD"/>
    <w:rsid w:val="00736069"/>
    <w:rsid w:val="00754D9E"/>
    <w:rsid w:val="0076584A"/>
    <w:rsid w:val="00770924"/>
    <w:rsid w:val="00793CE2"/>
    <w:rsid w:val="007C5A1C"/>
    <w:rsid w:val="007D084F"/>
    <w:rsid w:val="007E1A07"/>
    <w:rsid w:val="008025F6"/>
    <w:rsid w:val="00812323"/>
    <w:rsid w:val="00827FA0"/>
    <w:rsid w:val="00841CB4"/>
    <w:rsid w:val="00864D8A"/>
    <w:rsid w:val="0086558D"/>
    <w:rsid w:val="008A2A5A"/>
    <w:rsid w:val="008B1ACF"/>
    <w:rsid w:val="008B2554"/>
    <w:rsid w:val="008D56C3"/>
    <w:rsid w:val="008E1600"/>
    <w:rsid w:val="008E332C"/>
    <w:rsid w:val="008F1228"/>
    <w:rsid w:val="0092148C"/>
    <w:rsid w:val="00930A6F"/>
    <w:rsid w:val="00994EDC"/>
    <w:rsid w:val="00995B97"/>
    <w:rsid w:val="009A4137"/>
    <w:rsid w:val="009A5065"/>
    <w:rsid w:val="009A6E4C"/>
    <w:rsid w:val="009D216F"/>
    <w:rsid w:val="009E266C"/>
    <w:rsid w:val="00A11421"/>
    <w:rsid w:val="00A303CB"/>
    <w:rsid w:val="00A732DE"/>
    <w:rsid w:val="00A87036"/>
    <w:rsid w:val="00A936C7"/>
    <w:rsid w:val="00AA5257"/>
    <w:rsid w:val="00AC161E"/>
    <w:rsid w:val="00AD01E1"/>
    <w:rsid w:val="00AD04BC"/>
    <w:rsid w:val="00AF3F8E"/>
    <w:rsid w:val="00B13990"/>
    <w:rsid w:val="00B16FC9"/>
    <w:rsid w:val="00B41B86"/>
    <w:rsid w:val="00B6030D"/>
    <w:rsid w:val="00B70399"/>
    <w:rsid w:val="00B80FE9"/>
    <w:rsid w:val="00B944FD"/>
    <w:rsid w:val="00BB2AB4"/>
    <w:rsid w:val="00BB6EAA"/>
    <w:rsid w:val="00C0257E"/>
    <w:rsid w:val="00C1240C"/>
    <w:rsid w:val="00C202EA"/>
    <w:rsid w:val="00C21240"/>
    <w:rsid w:val="00C21A4B"/>
    <w:rsid w:val="00C27278"/>
    <w:rsid w:val="00C362B7"/>
    <w:rsid w:val="00C53B05"/>
    <w:rsid w:val="00C550FC"/>
    <w:rsid w:val="00C5560D"/>
    <w:rsid w:val="00C57BF9"/>
    <w:rsid w:val="00C6225B"/>
    <w:rsid w:val="00C652E7"/>
    <w:rsid w:val="00C81040"/>
    <w:rsid w:val="00CB4051"/>
    <w:rsid w:val="00CD1163"/>
    <w:rsid w:val="00CD6404"/>
    <w:rsid w:val="00CF4E15"/>
    <w:rsid w:val="00D00529"/>
    <w:rsid w:val="00D0322A"/>
    <w:rsid w:val="00D0587A"/>
    <w:rsid w:val="00D1732A"/>
    <w:rsid w:val="00D479A5"/>
    <w:rsid w:val="00D51614"/>
    <w:rsid w:val="00D65651"/>
    <w:rsid w:val="00D755A2"/>
    <w:rsid w:val="00D850C7"/>
    <w:rsid w:val="00D93029"/>
    <w:rsid w:val="00DA48F7"/>
    <w:rsid w:val="00DA5F42"/>
    <w:rsid w:val="00DC625B"/>
    <w:rsid w:val="00DE564F"/>
    <w:rsid w:val="00DE569E"/>
    <w:rsid w:val="00DE7C1F"/>
    <w:rsid w:val="00DF5950"/>
    <w:rsid w:val="00DF79D3"/>
    <w:rsid w:val="00E017D0"/>
    <w:rsid w:val="00E15310"/>
    <w:rsid w:val="00E30659"/>
    <w:rsid w:val="00E52DDE"/>
    <w:rsid w:val="00E54A4D"/>
    <w:rsid w:val="00E60313"/>
    <w:rsid w:val="00E64C74"/>
    <w:rsid w:val="00E956A7"/>
    <w:rsid w:val="00EA3A9B"/>
    <w:rsid w:val="00EA4A6F"/>
    <w:rsid w:val="00EB1A08"/>
    <w:rsid w:val="00ED7ED2"/>
    <w:rsid w:val="00EE347C"/>
    <w:rsid w:val="00F072CD"/>
    <w:rsid w:val="00F07876"/>
    <w:rsid w:val="00F07987"/>
    <w:rsid w:val="00F12BCD"/>
    <w:rsid w:val="00F17104"/>
    <w:rsid w:val="00F3418C"/>
    <w:rsid w:val="00F42AA8"/>
    <w:rsid w:val="00F4709E"/>
    <w:rsid w:val="00F601E6"/>
    <w:rsid w:val="00F65E2C"/>
    <w:rsid w:val="00F70D6B"/>
    <w:rsid w:val="00F82282"/>
    <w:rsid w:val="00F858DD"/>
    <w:rsid w:val="00FD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E179F4"/>
  <w15:docId w15:val="{1EE3B8BC-1594-4DA2-8CF3-3F516BEE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78"/>
    <w:pPr>
      <w:spacing w:line="240" w:lineRule="auto"/>
    </w:pPr>
    <w:rPr>
      <w:rFonts w:ascii="Arial" w:hAnsi="Arial"/>
    </w:rPr>
  </w:style>
  <w:style w:type="paragraph" w:styleId="Heading1">
    <w:name w:val="heading 1"/>
    <w:basedOn w:val="Normal"/>
    <w:next w:val="Normal"/>
    <w:link w:val="Heading1Char"/>
    <w:autoRedefine/>
    <w:qFormat/>
    <w:rsid w:val="00DE569E"/>
    <w:pPr>
      <w:keepNext/>
      <w:keepLines/>
      <w:numPr>
        <w:numId w:val="9"/>
      </w:numPr>
      <w:pBdr>
        <w:bottom w:val="single" w:sz="4" w:space="1" w:color="auto"/>
      </w:pBdr>
      <w:spacing w:before="240" w:after="120"/>
      <w:outlineLvl w:val="0"/>
    </w:pPr>
    <w:rPr>
      <w:rFonts w:ascii="Arial Bold" w:eastAsiaTheme="majorEastAsia" w:hAnsi="Arial Bold" w:cstheme="majorBidi"/>
      <w:b/>
      <w:caps/>
      <w:sz w:val="24"/>
      <w:szCs w:val="32"/>
    </w:rPr>
  </w:style>
  <w:style w:type="paragraph" w:styleId="Heading2">
    <w:name w:val="heading 2"/>
    <w:basedOn w:val="Normal"/>
    <w:next w:val="Normal"/>
    <w:link w:val="Heading2Char"/>
    <w:unhideWhenUsed/>
    <w:qFormat/>
    <w:rsid w:val="00812323"/>
    <w:pPr>
      <w:keepLines/>
      <w:widowControl w:val="0"/>
      <w:numPr>
        <w:ilvl w:val="1"/>
        <w:numId w:val="9"/>
      </w:numPr>
      <w:tabs>
        <w:tab w:val="left" w:pos="578"/>
      </w:tabs>
      <w:spacing w:before="240" w:after="240"/>
      <w:outlineLvl w:val="1"/>
    </w:pPr>
    <w:rPr>
      <w:rFonts w:ascii="Arial Bold" w:eastAsiaTheme="majorEastAsia" w:hAnsi="Arial Bold" w:cstheme="majorBidi"/>
      <w:szCs w:val="26"/>
    </w:rPr>
  </w:style>
  <w:style w:type="paragraph" w:styleId="Heading3">
    <w:name w:val="heading 3"/>
    <w:basedOn w:val="Heading2"/>
    <w:next w:val="Normal"/>
    <w:link w:val="Heading3Char"/>
    <w:uiPriority w:val="9"/>
    <w:unhideWhenUsed/>
    <w:qFormat/>
    <w:rsid w:val="004F5781"/>
    <w:pPr>
      <w:keepNext/>
      <w:numPr>
        <w:ilvl w:val="2"/>
      </w:numPr>
      <w:tabs>
        <w:tab w:val="clear" w:pos="578"/>
        <w:tab w:val="left" w:pos="851"/>
      </w:tabs>
      <w:spacing w:line="276" w:lineRule="auto"/>
      <w:outlineLvl w:val="2"/>
    </w:pPr>
    <w:rPr>
      <w:rFonts w:ascii="Arial" w:hAnsi="Arial" w:cs="Arial"/>
      <w:szCs w:val="24"/>
    </w:rPr>
  </w:style>
  <w:style w:type="paragraph" w:styleId="Heading4">
    <w:name w:val="heading 4"/>
    <w:basedOn w:val="Normal"/>
    <w:next w:val="Normal"/>
    <w:link w:val="Heading4Char"/>
    <w:uiPriority w:val="9"/>
    <w:unhideWhenUsed/>
    <w:qFormat/>
    <w:rsid w:val="00C27278"/>
    <w:pPr>
      <w:keepNext/>
      <w:keepLines/>
      <w:numPr>
        <w:ilvl w:val="3"/>
        <w:numId w:val="9"/>
      </w:numPr>
      <w:spacing w:before="240" w:after="240" w:line="276" w:lineRule="auto"/>
      <w:ind w:left="1985" w:hanging="851"/>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F1228"/>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1228"/>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122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122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22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72C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72CA"/>
    <w:rPr>
      <w:rFonts w:eastAsiaTheme="minorEastAsia"/>
      <w:lang w:val="en-US"/>
    </w:rPr>
  </w:style>
  <w:style w:type="paragraph" w:styleId="BalloonText">
    <w:name w:val="Balloon Text"/>
    <w:basedOn w:val="Normal"/>
    <w:link w:val="BalloonTextChar"/>
    <w:uiPriority w:val="99"/>
    <w:semiHidden/>
    <w:unhideWhenUsed/>
    <w:rsid w:val="00707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CA"/>
    <w:rPr>
      <w:rFonts w:ascii="Tahoma" w:hAnsi="Tahoma" w:cs="Tahoma"/>
      <w:sz w:val="16"/>
      <w:szCs w:val="16"/>
    </w:rPr>
  </w:style>
  <w:style w:type="paragraph" w:styleId="Header">
    <w:name w:val="header"/>
    <w:basedOn w:val="Normal"/>
    <w:link w:val="HeaderChar"/>
    <w:uiPriority w:val="99"/>
    <w:unhideWhenUsed/>
    <w:rsid w:val="0038752B"/>
    <w:pPr>
      <w:tabs>
        <w:tab w:val="center" w:pos="4513"/>
        <w:tab w:val="right" w:pos="9026"/>
      </w:tabs>
      <w:spacing w:after="0"/>
    </w:pPr>
  </w:style>
  <w:style w:type="character" w:customStyle="1" w:styleId="HeaderChar">
    <w:name w:val="Header Char"/>
    <w:basedOn w:val="DefaultParagraphFont"/>
    <w:link w:val="Header"/>
    <w:uiPriority w:val="99"/>
    <w:rsid w:val="0038752B"/>
  </w:style>
  <w:style w:type="paragraph" w:styleId="Footer">
    <w:name w:val="footer"/>
    <w:basedOn w:val="Normal"/>
    <w:link w:val="FooterChar"/>
    <w:uiPriority w:val="99"/>
    <w:unhideWhenUsed/>
    <w:rsid w:val="0038752B"/>
    <w:pPr>
      <w:tabs>
        <w:tab w:val="center" w:pos="4513"/>
        <w:tab w:val="right" w:pos="9026"/>
      </w:tabs>
      <w:spacing w:after="0"/>
    </w:pPr>
  </w:style>
  <w:style w:type="character" w:customStyle="1" w:styleId="FooterChar">
    <w:name w:val="Footer Char"/>
    <w:basedOn w:val="DefaultParagraphFont"/>
    <w:link w:val="Footer"/>
    <w:uiPriority w:val="99"/>
    <w:rsid w:val="0038752B"/>
  </w:style>
  <w:style w:type="table" w:styleId="TableGrid">
    <w:name w:val="Table Grid"/>
    <w:basedOn w:val="TableNormal"/>
    <w:uiPriority w:val="59"/>
    <w:rsid w:val="00E64C7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569E"/>
    <w:rPr>
      <w:rFonts w:ascii="Arial Bold" w:eastAsiaTheme="majorEastAsia" w:hAnsi="Arial Bold" w:cstheme="majorBidi"/>
      <w:b/>
      <w:caps/>
      <w:sz w:val="24"/>
      <w:szCs w:val="32"/>
    </w:rPr>
  </w:style>
  <w:style w:type="character" w:styleId="CommentReference">
    <w:name w:val="annotation reference"/>
    <w:basedOn w:val="DefaultParagraphFont"/>
    <w:uiPriority w:val="99"/>
    <w:semiHidden/>
    <w:unhideWhenUsed/>
    <w:rsid w:val="00F07987"/>
    <w:rPr>
      <w:sz w:val="16"/>
      <w:szCs w:val="16"/>
    </w:rPr>
  </w:style>
  <w:style w:type="paragraph" w:styleId="CommentText">
    <w:name w:val="annotation text"/>
    <w:basedOn w:val="Normal"/>
    <w:link w:val="CommentTextChar"/>
    <w:uiPriority w:val="99"/>
    <w:unhideWhenUsed/>
    <w:rsid w:val="00F07987"/>
    <w:rPr>
      <w:sz w:val="20"/>
      <w:szCs w:val="20"/>
    </w:rPr>
  </w:style>
  <w:style w:type="character" w:customStyle="1" w:styleId="CommentTextChar">
    <w:name w:val="Comment Text Char"/>
    <w:basedOn w:val="DefaultParagraphFont"/>
    <w:link w:val="CommentText"/>
    <w:uiPriority w:val="99"/>
    <w:rsid w:val="00F07987"/>
    <w:rPr>
      <w:sz w:val="20"/>
      <w:szCs w:val="20"/>
    </w:rPr>
  </w:style>
  <w:style w:type="paragraph" w:styleId="CommentSubject">
    <w:name w:val="annotation subject"/>
    <w:basedOn w:val="CommentText"/>
    <w:next w:val="CommentText"/>
    <w:link w:val="CommentSubjectChar"/>
    <w:uiPriority w:val="99"/>
    <w:semiHidden/>
    <w:unhideWhenUsed/>
    <w:rsid w:val="00F07987"/>
    <w:rPr>
      <w:b/>
      <w:bCs/>
    </w:rPr>
  </w:style>
  <w:style w:type="character" w:customStyle="1" w:styleId="CommentSubjectChar">
    <w:name w:val="Comment Subject Char"/>
    <w:basedOn w:val="CommentTextChar"/>
    <w:link w:val="CommentSubject"/>
    <w:uiPriority w:val="99"/>
    <w:semiHidden/>
    <w:rsid w:val="00F07987"/>
    <w:rPr>
      <w:b/>
      <w:bCs/>
      <w:sz w:val="20"/>
      <w:szCs w:val="20"/>
    </w:rPr>
  </w:style>
  <w:style w:type="character" w:customStyle="1" w:styleId="Heading2Char">
    <w:name w:val="Heading 2 Char"/>
    <w:basedOn w:val="DefaultParagraphFont"/>
    <w:link w:val="Heading2"/>
    <w:rsid w:val="00812323"/>
    <w:rPr>
      <w:rFonts w:ascii="Arial Bold" w:eastAsiaTheme="majorEastAsia" w:hAnsi="Arial Bold" w:cstheme="majorBidi"/>
      <w:szCs w:val="26"/>
    </w:rPr>
  </w:style>
  <w:style w:type="paragraph" w:styleId="ListParagraph">
    <w:name w:val="List Paragraph"/>
    <w:basedOn w:val="Normal"/>
    <w:uiPriority w:val="34"/>
    <w:qFormat/>
    <w:rsid w:val="00532EBD"/>
    <w:pPr>
      <w:ind w:left="720"/>
      <w:contextualSpacing/>
    </w:pPr>
  </w:style>
  <w:style w:type="character" w:customStyle="1" w:styleId="Heading3Char">
    <w:name w:val="Heading 3 Char"/>
    <w:basedOn w:val="DefaultParagraphFont"/>
    <w:link w:val="Heading3"/>
    <w:uiPriority w:val="9"/>
    <w:rsid w:val="004F5781"/>
    <w:rPr>
      <w:rFonts w:ascii="Arial" w:eastAsiaTheme="majorEastAsia" w:hAnsi="Arial" w:cs="Arial"/>
      <w:szCs w:val="24"/>
    </w:rPr>
  </w:style>
  <w:style w:type="character" w:customStyle="1" w:styleId="Heading4Char">
    <w:name w:val="Heading 4 Char"/>
    <w:basedOn w:val="DefaultParagraphFont"/>
    <w:link w:val="Heading4"/>
    <w:uiPriority w:val="9"/>
    <w:rsid w:val="00C27278"/>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8F12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F12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F12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F12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1228"/>
    <w:rPr>
      <w:rFonts w:asciiTheme="majorHAnsi" w:eastAsiaTheme="majorEastAsia" w:hAnsiTheme="majorHAnsi" w:cstheme="majorBidi"/>
      <w:i/>
      <w:iCs/>
      <w:color w:val="272727" w:themeColor="text1" w:themeTint="D8"/>
      <w:sz w:val="21"/>
      <w:szCs w:val="21"/>
    </w:rPr>
  </w:style>
  <w:style w:type="paragraph" w:customStyle="1" w:styleId="Heading50">
    <w:name w:val="Heading5"/>
    <w:basedOn w:val="Heading5"/>
    <w:qFormat/>
    <w:rsid w:val="00EB1A08"/>
    <w:pPr>
      <w:keepNext w:val="0"/>
      <w:widowControl w:val="0"/>
      <w:numPr>
        <w:ilvl w:val="0"/>
        <w:numId w:val="10"/>
      </w:numPr>
      <w:spacing w:before="160" w:after="160" w:line="276" w:lineRule="auto"/>
    </w:pPr>
    <w:rPr>
      <w:rFonts w:ascii="Arial" w:hAnsi="Arial"/>
      <w:color w:val="auto"/>
    </w:rPr>
  </w:style>
  <w:style w:type="paragraph" w:customStyle="1" w:styleId="Text">
    <w:name w:val="Text"/>
    <w:basedOn w:val="Normal"/>
    <w:qFormat/>
    <w:rsid w:val="00EB1A08"/>
    <w:pPr>
      <w:spacing w:before="240" w:after="240"/>
      <w:ind w:left="567"/>
    </w:pPr>
  </w:style>
  <w:style w:type="paragraph" w:styleId="EndnoteText">
    <w:name w:val="endnote text"/>
    <w:basedOn w:val="Normal"/>
    <w:link w:val="EndnoteTextChar"/>
    <w:uiPriority w:val="99"/>
    <w:unhideWhenUsed/>
    <w:rsid w:val="00467E4C"/>
    <w:pPr>
      <w:spacing w:after="0"/>
    </w:pPr>
    <w:rPr>
      <w:sz w:val="20"/>
      <w:szCs w:val="20"/>
    </w:rPr>
  </w:style>
  <w:style w:type="character" w:customStyle="1" w:styleId="EndnoteTextChar">
    <w:name w:val="Endnote Text Char"/>
    <w:basedOn w:val="DefaultParagraphFont"/>
    <w:link w:val="EndnoteText"/>
    <w:uiPriority w:val="99"/>
    <w:rsid w:val="00467E4C"/>
    <w:rPr>
      <w:rFonts w:ascii="Arial" w:hAnsi="Arial"/>
      <w:sz w:val="20"/>
      <w:szCs w:val="20"/>
    </w:rPr>
  </w:style>
  <w:style w:type="character" w:styleId="EndnoteReference">
    <w:name w:val="endnote reference"/>
    <w:basedOn w:val="DefaultParagraphFont"/>
    <w:uiPriority w:val="99"/>
    <w:semiHidden/>
    <w:unhideWhenUsed/>
    <w:rsid w:val="002E06BC"/>
    <w:rPr>
      <w:vertAlign w:val="superscript"/>
    </w:rPr>
  </w:style>
  <w:style w:type="paragraph" w:styleId="FootnoteText">
    <w:name w:val="footnote text"/>
    <w:basedOn w:val="Normal"/>
    <w:link w:val="FootnoteTextChar"/>
    <w:uiPriority w:val="99"/>
    <w:semiHidden/>
    <w:unhideWhenUsed/>
    <w:rsid w:val="002E06BC"/>
    <w:pPr>
      <w:spacing w:after="0"/>
    </w:pPr>
    <w:rPr>
      <w:sz w:val="20"/>
      <w:szCs w:val="20"/>
    </w:rPr>
  </w:style>
  <w:style w:type="character" w:customStyle="1" w:styleId="FootnoteTextChar">
    <w:name w:val="Footnote Text Char"/>
    <w:basedOn w:val="DefaultParagraphFont"/>
    <w:link w:val="FootnoteText"/>
    <w:uiPriority w:val="99"/>
    <w:semiHidden/>
    <w:rsid w:val="002E06BC"/>
    <w:rPr>
      <w:rFonts w:ascii="Arial" w:hAnsi="Arial"/>
      <w:sz w:val="20"/>
      <w:szCs w:val="20"/>
    </w:rPr>
  </w:style>
  <w:style w:type="character" w:styleId="FootnoteReference">
    <w:name w:val="footnote reference"/>
    <w:basedOn w:val="DefaultParagraphFont"/>
    <w:uiPriority w:val="99"/>
    <w:semiHidden/>
    <w:unhideWhenUsed/>
    <w:rsid w:val="002E06BC"/>
    <w:rPr>
      <w:vertAlign w:val="superscript"/>
    </w:rPr>
  </w:style>
  <w:style w:type="character" w:styleId="Hyperlink">
    <w:name w:val="Hyperlink"/>
    <w:basedOn w:val="DefaultParagraphFont"/>
    <w:uiPriority w:val="99"/>
    <w:unhideWhenUsed/>
    <w:rsid w:val="00E15310"/>
    <w:rPr>
      <w:color w:val="0000FF" w:themeColor="hyperlink"/>
      <w:u w:val="single"/>
    </w:rPr>
  </w:style>
  <w:style w:type="character" w:styleId="PlaceholderText">
    <w:name w:val="Placeholder Text"/>
    <w:basedOn w:val="DefaultParagraphFont"/>
    <w:uiPriority w:val="99"/>
    <w:semiHidden/>
    <w:rsid w:val="00C27278"/>
    <w:rPr>
      <w:color w:val="808080"/>
    </w:rPr>
  </w:style>
  <w:style w:type="paragraph" w:customStyle="1" w:styleId="TextHeading4">
    <w:name w:val="Text Heading 4"/>
    <w:basedOn w:val="Normal"/>
    <w:qFormat/>
    <w:rsid w:val="00C27278"/>
    <w:pPr>
      <w:ind w:left="1985"/>
    </w:pPr>
  </w:style>
  <w:style w:type="paragraph" w:styleId="Revision">
    <w:name w:val="Revision"/>
    <w:hidden/>
    <w:uiPriority w:val="99"/>
    <w:semiHidden/>
    <w:rsid w:val="00B16FC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oud.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ustomer.services@stroud.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22A95A-5980-4517-89B2-355BE26A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2288</Words>
  <Characters>11907</Characters>
  <Application>Microsoft Office Word</Application>
  <DocSecurity>0</DocSecurity>
  <Lines>314</Lines>
  <Paragraphs>152</Paragraphs>
  <ScaleCrop>false</ScaleCrop>
  <HeadingPairs>
    <vt:vector size="2" baseType="variant">
      <vt:variant>
        <vt:lpstr>Title</vt:lpstr>
      </vt:variant>
      <vt:variant>
        <vt:i4>1</vt:i4>
      </vt:variant>
    </vt:vector>
  </HeadingPairs>
  <TitlesOfParts>
    <vt:vector size="1" baseType="lpstr">
      <vt:lpstr>XXX Policy</vt:lpstr>
    </vt:vector>
  </TitlesOfParts>
  <Company>Stroud District Council</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Policy</dc:title>
  <dc:subject>Month Year</dc:subject>
  <dc:creator>XXXXX Services</dc:creator>
  <cp:lastModifiedBy>O'Grady, Jen</cp:lastModifiedBy>
  <cp:revision>52</cp:revision>
  <cp:lastPrinted>2016-09-29T07:37:00Z</cp:lastPrinted>
  <dcterms:created xsi:type="dcterms:W3CDTF">2024-08-27T13:21:00Z</dcterms:created>
  <dcterms:modified xsi:type="dcterms:W3CDTF">2024-11-08T16:33:00Z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9e5a25077b84adaf44bd3ec02ae53608390491d0df67c25de5d9312db952a676</vt:lpwstr>
  </property>
</Properties>
</file>