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F8F02" w14:textId="12A3618D" w:rsidR="0006514C" w:rsidRPr="00B920E3" w:rsidRDefault="004504F7">
      <w:pPr>
        <w:rPr>
          <w:b/>
          <w:bCs/>
          <w:sz w:val="28"/>
          <w:szCs w:val="28"/>
        </w:rPr>
      </w:pPr>
      <w:r w:rsidRPr="00B920E3">
        <w:rPr>
          <w:b/>
          <w:bCs/>
          <w:sz w:val="28"/>
          <w:szCs w:val="28"/>
        </w:rPr>
        <w:t>Tenant Satisfaction Measures – Stroud District Council Results 2023-2024</w:t>
      </w:r>
    </w:p>
    <w:p w14:paraId="1FA4E579" w14:textId="307DDD73" w:rsidR="004504F7" w:rsidRDefault="004504F7">
      <w:r>
        <w:t>I</w:t>
      </w:r>
      <w:r w:rsidR="00B920E3">
        <w:t xml:space="preserve">n </w:t>
      </w:r>
      <w:r>
        <w:t xml:space="preserve">September 2022, the Regulator for Social Housing announced a suite of performance measures that all Registered Providers of social housing would be required to measure themselves against and report to the Regulator and their </w:t>
      </w:r>
      <w:r w:rsidR="00B920E3">
        <w:t>tenants</w:t>
      </w:r>
      <w:r>
        <w:t xml:space="preserve"> from April 2024. Stroud District Council collected the following perception data (TP01 – TP12) from our </w:t>
      </w:r>
      <w:r w:rsidR="00B920E3">
        <w:t>tenants</w:t>
      </w:r>
      <w:r>
        <w:t xml:space="preserve"> between November 2023 and December 2023, by telephone survey. The below table shows our full performance against these measures.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8003"/>
        <w:gridCol w:w="1417"/>
      </w:tblGrid>
      <w:tr w:rsidR="004504F7" w14:paraId="3FBF1842" w14:textId="77777777" w:rsidTr="00B920E3">
        <w:tc>
          <w:tcPr>
            <w:tcW w:w="781" w:type="dxa"/>
            <w:shd w:val="clear" w:color="auto" w:fill="B4C6E7" w:themeFill="accent5" w:themeFillTint="66"/>
          </w:tcPr>
          <w:p w14:paraId="74747585" w14:textId="7A009D48" w:rsidR="004504F7" w:rsidRDefault="004504F7">
            <w:r>
              <w:t>Ref</w:t>
            </w:r>
          </w:p>
        </w:tc>
        <w:tc>
          <w:tcPr>
            <w:tcW w:w="8003" w:type="dxa"/>
            <w:shd w:val="clear" w:color="auto" w:fill="B4C6E7" w:themeFill="accent5" w:themeFillTint="66"/>
          </w:tcPr>
          <w:p w14:paraId="32CD652E" w14:textId="716FA722" w:rsidR="004504F7" w:rsidRDefault="004504F7">
            <w:r>
              <w:t>Measure Description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CAF64EA" w14:textId="7C0BC3BC" w:rsidR="004504F7" w:rsidRDefault="004504F7">
            <w:r>
              <w:t>SDC Result 2023-2024</w:t>
            </w:r>
          </w:p>
        </w:tc>
      </w:tr>
      <w:tr w:rsidR="004504F7" w14:paraId="67CEA9D3" w14:textId="77777777" w:rsidTr="00B920E3">
        <w:tc>
          <w:tcPr>
            <w:tcW w:w="781" w:type="dxa"/>
          </w:tcPr>
          <w:p w14:paraId="21127F1C" w14:textId="142D3590" w:rsidR="004504F7" w:rsidRDefault="004504F7">
            <w:r>
              <w:t>TS01</w:t>
            </w:r>
          </w:p>
        </w:tc>
        <w:tc>
          <w:tcPr>
            <w:tcW w:w="8003" w:type="dxa"/>
          </w:tcPr>
          <w:p w14:paraId="5DA3148F" w14:textId="319EB1A0" w:rsidR="004504F7" w:rsidRDefault="00B920E3">
            <w:r>
              <w:t>Overall satisfaction</w:t>
            </w:r>
          </w:p>
        </w:tc>
        <w:tc>
          <w:tcPr>
            <w:tcW w:w="1417" w:type="dxa"/>
          </w:tcPr>
          <w:p w14:paraId="5458A56A" w14:textId="6E687FC0" w:rsidR="004504F7" w:rsidRDefault="004504F7" w:rsidP="00B920E3">
            <w:pPr>
              <w:jc w:val="center"/>
            </w:pPr>
            <w:r>
              <w:t>65.6%</w:t>
            </w:r>
          </w:p>
        </w:tc>
      </w:tr>
      <w:tr w:rsidR="004504F7" w14:paraId="7FECD8C1" w14:textId="77777777" w:rsidTr="00B920E3">
        <w:tc>
          <w:tcPr>
            <w:tcW w:w="781" w:type="dxa"/>
          </w:tcPr>
          <w:p w14:paraId="7E55E714" w14:textId="15345B0D" w:rsidR="004504F7" w:rsidRDefault="004504F7">
            <w:r>
              <w:t>TS02</w:t>
            </w:r>
          </w:p>
        </w:tc>
        <w:tc>
          <w:tcPr>
            <w:tcW w:w="8003" w:type="dxa"/>
          </w:tcPr>
          <w:p w14:paraId="408EEBE4" w14:textId="006C9C58" w:rsidR="004504F7" w:rsidRDefault="00972EC2">
            <w:r>
              <w:t xml:space="preserve">Satisfaction with </w:t>
            </w:r>
            <w:r w:rsidR="00B920E3">
              <w:t>r</w:t>
            </w:r>
            <w:r>
              <w:t>epairs</w:t>
            </w:r>
          </w:p>
        </w:tc>
        <w:tc>
          <w:tcPr>
            <w:tcW w:w="1417" w:type="dxa"/>
          </w:tcPr>
          <w:p w14:paraId="45FC6CF5" w14:textId="26E809CC" w:rsidR="004504F7" w:rsidRDefault="00B920E3" w:rsidP="00B920E3">
            <w:pPr>
              <w:jc w:val="center"/>
            </w:pPr>
            <w:r>
              <w:t>68.0%</w:t>
            </w:r>
          </w:p>
        </w:tc>
      </w:tr>
      <w:tr w:rsidR="004504F7" w14:paraId="2A3EA09B" w14:textId="77777777" w:rsidTr="00B920E3">
        <w:tc>
          <w:tcPr>
            <w:tcW w:w="781" w:type="dxa"/>
          </w:tcPr>
          <w:p w14:paraId="3C445794" w14:textId="61007A3D" w:rsidR="004504F7" w:rsidRDefault="00972EC2">
            <w:r>
              <w:t>TS03</w:t>
            </w:r>
          </w:p>
        </w:tc>
        <w:tc>
          <w:tcPr>
            <w:tcW w:w="8003" w:type="dxa"/>
          </w:tcPr>
          <w:p w14:paraId="24E09F29" w14:textId="7517F27D" w:rsidR="004504F7" w:rsidRDefault="00972EC2">
            <w:r>
              <w:t>Satisfaction with time taken to complete most recent repair</w:t>
            </w:r>
          </w:p>
        </w:tc>
        <w:tc>
          <w:tcPr>
            <w:tcW w:w="1417" w:type="dxa"/>
          </w:tcPr>
          <w:p w14:paraId="5846ABEE" w14:textId="4F07318E" w:rsidR="004504F7" w:rsidRDefault="00B920E3" w:rsidP="00B920E3">
            <w:pPr>
              <w:jc w:val="center"/>
            </w:pPr>
            <w:r>
              <w:t>63.1%</w:t>
            </w:r>
          </w:p>
        </w:tc>
      </w:tr>
      <w:tr w:rsidR="004504F7" w14:paraId="2AAD5247" w14:textId="77777777" w:rsidTr="00B920E3">
        <w:tc>
          <w:tcPr>
            <w:tcW w:w="781" w:type="dxa"/>
          </w:tcPr>
          <w:p w14:paraId="3FA4174D" w14:textId="01ABA6E1" w:rsidR="004504F7" w:rsidRDefault="00972EC2">
            <w:r>
              <w:t>TS04</w:t>
            </w:r>
          </w:p>
        </w:tc>
        <w:tc>
          <w:tcPr>
            <w:tcW w:w="8003" w:type="dxa"/>
          </w:tcPr>
          <w:p w14:paraId="151EB945" w14:textId="356D8CFA" w:rsidR="004504F7" w:rsidRDefault="00972EC2">
            <w:r>
              <w:t xml:space="preserve">Satisfaction with </w:t>
            </w:r>
            <w:proofErr w:type="spellStart"/>
            <w:r>
              <w:t>well maintained</w:t>
            </w:r>
            <w:proofErr w:type="spellEnd"/>
            <w:r>
              <w:t xml:space="preserve"> home</w:t>
            </w:r>
          </w:p>
        </w:tc>
        <w:tc>
          <w:tcPr>
            <w:tcW w:w="1417" w:type="dxa"/>
          </w:tcPr>
          <w:p w14:paraId="56B64CCE" w14:textId="5E6BB0A1" w:rsidR="004504F7" w:rsidRDefault="00B920E3" w:rsidP="00B920E3">
            <w:pPr>
              <w:jc w:val="center"/>
            </w:pPr>
            <w:r>
              <w:t>70.1%</w:t>
            </w:r>
          </w:p>
        </w:tc>
      </w:tr>
      <w:tr w:rsidR="004504F7" w14:paraId="04ED1F22" w14:textId="77777777" w:rsidTr="00B920E3">
        <w:tc>
          <w:tcPr>
            <w:tcW w:w="781" w:type="dxa"/>
          </w:tcPr>
          <w:p w14:paraId="563A46A8" w14:textId="301B9AB8" w:rsidR="004504F7" w:rsidRDefault="00972EC2">
            <w:r>
              <w:t>TS05</w:t>
            </w:r>
          </w:p>
        </w:tc>
        <w:tc>
          <w:tcPr>
            <w:tcW w:w="8003" w:type="dxa"/>
          </w:tcPr>
          <w:p w14:paraId="14B58535" w14:textId="15E91784" w:rsidR="004504F7" w:rsidRDefault="00972EC2">
            <w:r>
              <w:t>Satisfaction that the home is safe</w:t>
            </w:r>
          </w:p>
        </w:tc>
        <w:tc>
          <w:tcPr>
            <w:tcW w:w="1417" w:type="dxa"/>
          </w:tcPr>
          <w:p w14:paraId="12C4047E" w14:textId="11073AB4" w:rsidR="004504F7" w:rsidRDefault="00B920E3" w:rsidP="00B920E3">
            <w:pPr>
              <w:jc w:val="center"/>
            </w:pPr>
            <w:r>
              <w:t>81.1%</w:t>
            </w:r>
          </w:p>
        </w:tc>
      </w:tr>
      <w:tr w:rsidR="004504F7" w14:paraId="5C0743B1" w14:textId="77777777" w:rsidTr="00B920E3">
        <w:tc>
          <w:tcPr>
            <w:tcW w:w="781" w:type="dxa"/>
          </w:tcPr>
          <w:p w14:paraId="17D00829" w14:textId="1ABFB1B0" w:rsidR="004504F7" w:rsidRDefault="00972EC2">
            <w:r>
              <w:t>TP06</w:t>
            </w:r>
          </w:p>
        </w:tc>
        <w:tc>
          <w:tcPr>
            <w:tcW w:w="8003" w:type="dxa"/>
          </w:tcPr>
          <w:p w14:paraId="22D5D833" w14:textId="5D7891E6" w:rsidR="004504F7" w:rsidRDefault="00972EC2">
            <w:r>
              <w:t>Satisfaction that SDC listens and acts</w:t>
            </w:r>
          </w:p>
        </w:tc>
        <w:tc>
          <w:tcPr>
            <w:tcW w:w="1417" w:type="dxa"/>
          </w:tcPr>
          <w:p w14:paraId="00D3E510" w14:textId="2131A987" w:rsidR="004504F7" w:rsidRDefault="00B920E3" w:rsidP="00B920E3">
            <w:pPr>
              <w:jc w:val="center"/>
            </w:pPr>
            <w:r>
              <w:t>55.1%</w:t>
            </w:r>
          </w:p>
        </w:tc>
      </w:tr>
      <w:tr w:rsidR="004504F7" w14:paraId="3036FBFD" w14:textId="77777777" w:rsidTr="00B920E3">
        <w:tc>
          <w:tcPr>
            <w:tcW w:w="781" w:type="dxa"/>
          </w:tcPr>
          <w:p w14:paraId="1DBCD5F0" w14:textId="66D39FEC" w:rsidR="004504F7" w:rsidRDefault="00972EC2">
            <w:r>
              <w:t>TP07</w:t>
            </w:r>
          </w:p>
        </w:tc>
        <w:tc>
          <w:tcPr>
            <w:tcW w:w="8003" w:type="dxa"/>
          </w:tcPr>
          <w:p w14:paraId="7068280F" w14:textId="71F46110" w:rsidR="004504F7" w:rsidRDefault="00972EC2">
            <w:r>
              <w:t>Satisfaction that SDC keeps tenants informed with things that matter to them</w:t>
            </w:r>
          </w:p>
        </w:tc>
        <w:tc>
          <w:tcPr>
            <w:tcW w:w="1417" w:type="dxa"/>
          </w:tcPr>
          <w:p w14:paraId="66D5B96A" w14:textId="75C14B4D" w:rsidR="004504F7" w:rsidRDefault="00B920E3" w:rsidP="00B920E3">
            <w:pPr>
              <w:jc w:val="center"/>
            </w:pPr>
            <w:r>
              <w:t>66.4%</w:t>
            </w:r>
          </w:p>
        </w:tc>
      </w:tr>
      <w:tr w:rsidR="00972EC2" w14:paraId="223DF1E9" w14:textId="77777777" w:rsidTr="00B920E3">
        <w:tc>
          <w:tcPr>
            <w:tcW w:w="781" w:type="dxa"/>
          </w:tcPr>
          <w:p w14:paraId="31588E7D" w14:textId="154E12B1" w:rsidR="00972EC2" w:rsidRDefault="00972EC2">
            <w:r>
              <w:t>TP08</w:t>
            </w:r>
          </w:p>
        </w:tc>
        <w:tc>
          <w:tcPr>
            <w:tcW w:w="8003" w:type="dxa"/>
          </w:tcPr>
          <w:p w14:paraId="2D5F1419" w14:textId="7BD8DA87" w:rsidR="00972EC2" w:rsidRDefault="00972EC2">
            <w:r>
              <w:t>Agreement that SDC treats tenants fairly and with respect</w:t>
            </w:r>
          </w:p>
        </w:tc>
        <w:tc>
          <w:tcPr>
            <w:tcW w:w="1417" w:type="dxa"/>
          </w:tcPr>
          <w:p w14:paraId="3392CFE2" w14:textId="5B8D1BC9" w:rsidR="00972EC2" w:rsidRDefault="00B920E3" w:rsidP="00B920E3">
            <w:pPr>
              <w:jc w:val="center"/>
            </w:pPr>
            <w:r>
              <w:t>76.1%</w:t>
            </w:r>
          </w:p>
        </w:tc>
      </w:tr>
      <w:tr w:rsidR="00972EC2" w14:paraId="639C999C" w14:textId="77777777" w:rsidTr="00B920E3">
        <w:tc>
          <w:tcPr>
            <w:tcW w:w="781" w:type="dxa"/>
          </w:tcPr>
          <w:p w14:paraId="483AC522" w14:textId="14446203" w:rsidR="00972EC2" w:rsidRDefault="00972EC2">
            <w:r>
              <w:t>TP09</w:t>
            </w:r>
          </w:p>
        </w:tc>
        <w:tc>
          <w:tcPr>
            <w:tcW w:w="8003" w:type="dxa"/>
          </w:tcPr>
          <w:p w14:paraId="11A98046" w14:textId="16C6A263" w:rsidR="00972EC2" w:rsidRDefault="00972EC2">
            <w:r>
              <w:t>Satisfaction with complaints handling</w:t>
            </w:r>
          </w:p>
        </w:tc>
        <w:tc>
          <w:tcPr>
            <w:tcW w:w="1417" w:type="dxa"/>
          </w:tcPr>
          <w:p w14:paraId="2EAAA585" w14:textId="57EEEA1A" w:rsidR="00972EC2" w:rsidRDefault="00B920E3" w:rsidP="00B920E3">
            <w:pPr>
              <w:jc w:val="center"/>
            </w:pPr>
            <w:r>
              <w:t>23.9%</w:t>
            </w:r>
          </w:p>
        </w:tc>
      </w:tr>
      <w:tr w:rsidR="00972EC2" w14:paraId="0FFBEC7A" w14:textId="77777777" w:rsidTr="00B920E3">
        <w:tc>
          <w:tcPr>
            <w:tcW w:w="781" w:type="dxa"/>
          </w:tcPr>
          <w:p w14:paraId="3BB38C59" w14:textId="25D5FAC1" w:rsidR="00972EC2" w:rsidRDefault="00972EC2">
            <w:r>
              <w:t>TP10</w:t>
            </w:r>
          </w:p>
        </w:tc>
        <w:tc>
          <w:tcPr>
            <w:tcW w:w="8003" w:type="dxa"/>
          </w:tcPr>
          <w:p w14:paraId="721C01E7" w14:textId="1B2B00BA" w:rsidR="00972EC2" w:rsidRDefault="00972EC2">
            <w:r>
              <w:t>Satisfaction communal areas are clean and maintained</w:t>
            </w:r>
          </w:p>
        </w:tc>
        <w:tc>
          <w:tcPr>
            <w:tcW w:w="1417" w:type="dxa"/>
          </w:tcPr>
          <w:p w14:paraId="3781F760" w14:textId="15A8621E" w:rsidR="00972EC2" w:rsidRDefault="00B920E3" w:rsidP="00B920E3">
            <w:pPr>
              <w:jc w:val="center"/>
            </w:pPr>
            <w:r>
              <w:t>63.8%</w:t>
            </w:r>
          </w:p>
        </w:tc>
      </w:tr>
      <w:tr w:rsidR="00972EC2" w14:paraId="1DAA8DA9" w14:textId="77777777" w:rsidTr="00B920E3">
        <w:tc>
          <w:tcPr>
            <w:tcW w:w="781" w:type="dxa"/>
          </w:tcPr>
          <w:p w14:paraId="3F7020F9" w14:textId="37C0D366" w:rsidR="00972EC2" w:rsidRDefault="00972EC2">
            <w:r>
              <w:t>TP11</w:t>
            </w:r>
          </w:p>
        </w:tc>
        <w:tc>
          <w:tcPr>
            <w:tcW w:w="8003" w:type="dxa"/>
          </w:tcPr>
          <w:p w14:paraId="4BADCF04" w14:textId="79A8A045" w:rsidR="00972EC2" w:rsidRDefault="00B920E3">
            <w:r>
              <w:t>Satisfaction that SDC makes a positive contribution to neighbourhoods</w:t>
            </w:r>
          </w:p>
        </w:tc>
        <w:tc>
          <w:tcPr>
            <w:tcW w:w="1417" w:type="dxa"/>
          </w:tcPr>
          <w:p w14:paraId="65EBAF22" w14:textId="34AAA970" w:rsidR="00972EC2" w:rsidRDefault="00B920E3" w:rsidP="00B920E3">
            <w:pPr>
              <w:jc w:val="center"/>
            </w:pPr>
            <w:r>
              <w:t>66.7%</w:t>
            </w:r>
          </w:p>
        </w:tc>
      </w:tr>
      <w:tr w:rsidR="00B920E3" w14:paraId="672474D7" w14:textId="77777777" w:rsidTr="00B920E3">
        <w:tc>
          <w:tcPr>
            <w:tcW w:w="781" w:type="dxa"/>
          </w:tcPr>
          <w:p w14:paraId="5BBF7205" w14:textId="0C371380" w:rsidR="00B920E3" w:rsidRDefault="00B920E3">
            <w:r>
              <w:t xml:space="preserve">TP12 </w:t>
            </w:r>
          </w:p>
        </w:tc>
        <w:tc>
          <w:tcPr>
            <w:tcW w:w="8003" w:type="dxa"/>
          </w:tcPr>
          <w:p w14:paraId="5A862273" w14:textId="37F3CDB2" w:rsidR="00B920E3" w:rsidRDefault="00B920E3">
            <w:r>
              <w:t>Satisfaction with approach to ASB handling</w:t>
            </w:r>
          </w:p>
        </w:tc>
        <w:tc>
          <w:tcPr>
            <w:tcW w:w="1417" w:type="dxa"/>
          </w:tcPr>
          <w:p w14:paraId="66E4808C" w14:textId="75E6839B" w:rsidR="00B920E3" w:rsidRDefault="00B920E3" w:rsidP="00B920E3">
            <w:pPr>
              <w:jc w:val="center"/>
            </w:pPr>
            <w:r>
              <w:t>65.0%</w:t>
            </w:r>
          </w:p>
        </w:tc>
      </w:tr>
      <w:tr w:rsidR="00B920E3" w14:paraId="2BD05E12" w14:textId="77777777" w:rsidTr="00B920E3">
        <w:tc>
          <w:tcPr>
            <w:tcW w:w="781" w:type="dxa"/>
          </w:tcPr>
          <w:p w14:paraId="120CF90D" w14:textId="0F6BA80A" w:rsidR="00B920E3" w:rsidRDefault="00B920E3">
            <w:r>
              <w:t>CH01</w:t>
            </w:r>
          </w:p>
        </w:tc>
        <w:tc>
          <w:tcPr>
            <w:tcW w:w="8003" w:type="dxa"/>
          </w:tcPr>
          <w:p w14:paraId="16BB138F" w14:textId="51BA34D8" w:rsidR="00B920E3" w:rsidRDefault="00B920E3">
            <w:r>
              <w:t>Stage 1 complaints relative to size of landlord</w:t>
            </w:r>
          </w:p>
        </w:tc>
        <w:tc>
          <w:tcPr>
            <w:tcW w:w="1417" w:type="dxa"/>
          </w:tcPr>
          <w:p w14:paraId="21EA1265" w14:textId="1BC44D7F" w:rsidR="00B920E3" w:rsidRDefault="00B920E3" w:rsidP="00B920E3">
            <w:pPr>
              <w:jc w:val="center"/>
            </w:pPr>
            <w:r>
              <w:t>31.3</w:t>
            </w:r>
          </w:p>
        </w:tc>
      </w:tr>
      <w:tr w:rsidR="00B920E3" w14:paraId="7A6883AE" w14:textId="77777777" w:rsidTr="00B920E3">
        <w:tc>
          <w:tcPr>
            <w:tcW w:w="781" w:type="dxa"/>
          </w:tcPr>
          <w:p w14:paraId="18022B49" w14:textId="33CABA3B" w:rsidR="00B920E3" w:rsidRDefault="00B920E3">
            <w:r>
              <w:t>CH01</w:t>
            </w:r>
          </w:p>
        </w:tc>
        <w:tc>
          <w:tcPr>
            <w:tcW w:w="8003" w:type="dxa"/>
          </w:tcPr>
          <w:p w14:paraId="264344A5" w14:textId="0695B925" w:rsidR="00B920E3" w:rsidRDefault="00B920E3">
            <w:r>
              <w:t>Stage 2 complaints relative to size of landlord</w:t>
            </w:r>
          </w:p>
        </w:tc>
        <w:tc>
          <w:tcPr>
            <w:tcW w:w="1417" w:type="dxa"/>
          </w:tcPr>
          <w:p w14:paraId="7DAD3F76" w14:textId="51AE0360" w:rsidR="00B920E3" w:rsidRDefault="00B920E3" w:rsidP="00B920E3">
            <w:pPr>
              <w:jc w:val="center"/>
            </w:pPr>
            <w:r>
              <w:t>4.6</w:t>
            </w:r>
          </w:p>
        </w:tc>
      </w:tr>
      <w:tr w:rsidR="00B920E3" w14:paraId="077F2C8A" w14:textId="77777777" w:rsidTr="00B920E3">
        <w:tc>
          <w:tcPr>
            <w:tcW w:w="781" w:type="dxa"/>
          </w:tcPr>
          <w:p w14:paraId="70D11A6E" w14:textId="420810C7" w:rsidR="00B920E3" w:rsidRDefault="00B920E3">
            <w:r>
              <w:t>CH02</w:t>
            </w:r>
          </w:p>
        </w:tc>
        <w:tc>
          <w:tcPr>
            <w:tcW w:w="8003" w:type="dxa"/>
          </w:tcPr>
          <w:p w14:paraId="20EFF476" w14:textId="3ECD6151" w:rsidR="00B920E3" w:rsidRDefault="00B920E3">
            <w:r>
              <w:t>Stage 1 complaints responded to within Ombudsman code timescales</w:t>
            </w:r>
          </w:p>
        </w:tc>
        <w:tc>
          <w:tcPr>
            <w:tcW w:w="1417" w:type="dxa"/>
          </w:tcPr>
          <w:p w14:paraId="30820824" w14:textId="23D22831" w:rsidR="00B920E3" w:rsidRDefault="00B920E3" w:rsidP="00B920E3">
            <w:pPr>
              <w:jc w:val="center"/>
            </w:pPr>
            <w:r>
              <w:t>87.1%</w:t>
            </w:r>
          </w:p>
        </w:tc>
      </w:tr>
      <w:tr w:rsidR="00B920E3" w14:paraId="52052594" w14:textId="77777777" w:rsidTr="00B920E3">
        <w:tc>
          <w:tcPr>
            <w:tcW w:w="781" w:type="dxa"/>
          </w:tcPr>
          <w:p w14:paraId="3E035595" w14:textId="786A4708" w:rsidR="00B920E3" w:rsidRDefault="00B920E3">
            <w:r>
              <w:t>CH02</w:t>
            </w:r>
          </w:p>
        </w:tc>
        <w:tc>
          <w:tcPr>
            <w:tcW w:w="8003" w:type="dxa"/>
          </w:tcPr>
          <w:p w14:paraId="20F71317" w14:textId="1CCD608E" w:rsidR="00B920E3" w:rsidRDefault="00B920E3">
            <w:r>
              <w:t xml:space="preserve">Stage </w:t>
            </w:r>
            <w:r>
              <w:t>2</w:t>
            </w:r>
            <w:r>
              <w:t xml:space="preserve"> complaints responded to within Ombudsman code timescales</w:t>
            </w:r>
          </w:p>
        </w:tc>
        <w:tc>
          <w:tcPr>
            <w:tcW w:w="1417" w:type="dxa"/>
          </w:tcPr>
          <w:p w14:paraId="41A42AA7" w14:textId="6BA27A62" w:rsidR="00B920E3" w:rsidRDefault="00B920E3" w:rsidP="00B920E3">
            <w:pPr>
              <w:jc w:val="center"/>
            </w:pPr>
            <w:r>
              <w:t>91.3%</w:t>
            </w:r>
          </w:p>
        </w:tc>
      </w:tr>
      <w:tr w:rsidR="00B920E3" w14:paraId="0FEDA600" w14:textId="77777777" w:rsidTr="00B920E3">
        <w:tc>
          <w:tcPr>
            <w:tcW w:w="781" w:type="dxa"/>
          </w:tcPr>
          <w:p w14:paraId="39F1BB4B" w14:textId="02C5963B" w:rsidR="00B920E3" w:rsidRDefault="00B920E3">
            <w:r>
              <w:t>NM01</w:t>
            </w:r>
          </w:p>
        </w:tc>
        <w:tc>
          <w:tcPr>
            <w:tcW w:w="8003" w:type="dxa"/>
          </w:tcPr>
          <w:p w14:paraId="09AAF1A2" w14:textId="536D43AC" w:rsidR="00B920E3" w:rsidRDefault="00B920E3">
            <w:r>
              <w:t>ASB cases relative to the size of the landlord</w:t>
            </w:r>
          </w:p>
        </w:tc>
        <w:tc>
          <w:tcPr>
            <w:tcW w:w="1417" w:type="dxa"/>
          </w:tcPr>
          <w:p w14:paraId="7E048EF7" w14:textId="7FC36925" w:rsidR="00B920E3" w:rsidRDefault="00B920E3" w:rsidP="00B920E3">
            <w:pPr>
              <w:jc w:val="center"/>
            </w:pPr>
            <w:r>
              <w:t>56.4</w:t>
            </w:r>
          </w:p>
        </w:tc>
      </w:tr>
      <w:tr w:rsidR="00B920E3" w14:paraId="38004B31" w14:textId="77777777" w:rsidTr="00B920E3">
        <w:tc>
          <w:tcPr>
            <w:tcW w:w="781" w:type="dxa"/>
          </w:tcPr>
          <w:p w14:paraId="55B3DDA8" w14:textId="3920CDE4" w:rsidR="00B920E3" w:rsidRDefault="00B920E3">
            <w:r>
              <w:t>NM02</w:t>
            </w:r>
          </w:p>
        </w:tc>
        <w:tc>
          <w:tcPr>
            <w:tcW w:w="8003" w:type="dxa"/>
          </w:tcPr>
          <w:p w14:paraId="704B691E" w14:textId="05D2BBD6" w:rsidR="00B920E3" w:rsidRDefault="00B920E3">
            <w:r>
              <w:t>ASB cases – hate related- relative to size of landlord</w:t>
            </w:r>
          </w:p>
        </w:tc>
        <w:tc>
          <w:tcPr>
            <w:tcW w:w="1417" w:type="dxa"/>
          </w:tcPr>
          <w:p w14:paraId="180CA41A" w14:textId="74B006C3" w:rsidR="00B920E3" w:rsidRDefault="00B920E3" w:rsidP="00B920E3">
            <w:pPr>
              <w:jc w:val="center"/>
            </w:pPr>
            <w:r>
              <w:t>1.4</w:t>
            </w:r>
          </w:p>
        </w:tc>
      </w:tr>
      <w:tr w:rsidR="00B920E3" w14:paraId="53A46C62" w14:textId="77777777" w:rsidTr="00B920E3">
        <w:tc>
          <w:tcPr>
            <w:tcW w:w="781" w:type="dxa"/>
          </w:tcPr>
          <w:p w14:paraId="3DECA074" w14:textId="3D5FF324" w:rsidR="00B920E3" w:rsidRDefault="00B920E3">
            <w:r>
              <w:t>RP01</w:t>
            </w:r>
          </w:p>
        </w:tc>
        <w:tc>
          <w:tcPr>
            <w:tcW w:w="8003" w:type="dxa"/>
          </w:tcPr>
          <w:p w14:paraId="39D45BAE" w14:textId="716D50BD" w:rsidR="00B920E3" w:rsidRDefault="00B920E3">
            <w:r>
              <w:t>Homes that do not meet the decent homes standard</w:t>
            </w:r>
          </w:p>
        </w:tc>
        <w:tc>
          <w:tcPr>
            <w:tcW w:w="1417" w:type="dxa"/>
          </w:tcPr>
          <w:p w14:paraId="22CDFE60" w14:textId="0189C57A" w:rsidR="00B920E3" w:rsidRDefault="00B920E3" w:rsidP="00B920E3">
            <w:pPr>
              <w:jc w:val="center"/>
            </w:pPr>
            <w:r>
              <w:t>3.3%</w:t>
            </w:r>
          </w:p>
        </w:tc>
      </w:tr>
      <w:tr w:rsidR="00B920E3" w14:paraId="75122F26" w14:textId="77777777" w:rsidTr="00B920E3">
        <w:tc>
          <w:tcPr>
            <w:tcW w:w="781" w:type="dxa"/>
          </w:tcPr>
          <w:p w14:paraId="31EF8B1B" w14:textId="624ECAAA" w:rsidR="00B920E3" w:rsidRDefault="00B920E3">
            <w:r>
              <w:t>RP02</w:t>
            </w:r>
          </w:p>
        </w:tc>
        <w:tc>
          <w:tcPr>
            <w:tcW w:w="8003" w:type="dxa"/>
          </w:tcPr>
          <w:p w14:paraId="4DB86B8A" w14:textId="05125990" w:rsidR="00B920E3" w:rsidRDefault="00B920E3">
            <w:r>
              <w:t>Non-emergency repairs completed within target timescale</w:t>
            </w:r>
          </w:p>
        </w:tc>
        <w:tc>
          <w:tcPr>
            <w:tcW w:w="1417" w:type="dxa"/>
          </w:tcPr>
          <w:p w14:paraId="37027A14" w14:textId="4B869B59" w:rsidR="00B920E3" w:rsidRDefault="00B920E3" w:rsidP="00B920E3">
            <w:pPr>
              <w:jc w:val="center"/>
            </w:pPr>
            <w:r>
              <w:t>83.3%</w:t>
            </w:r>
          </w:p>
        </w:tc>
      </w:tr>
      <w:tr w:rsidR="00B920E3" w14:paraId="6A38168D" w14:textId="77777777" w:rsidTr="00B920E3">
        <w:tc>
          <w:tcPr>
            <w:tcW w:w="781" w:type="dxa"/>
          </w:tcPr>
          <w:p w14:paraId="77DA9C7C" w14:textId="4008A123" w:rsidR="00B920E3" w:rsidRDefault="00B920E3">
            <w:r>
              <w:t>RP02</w:t>
            </w:r>
          </w:p>
        </w:tc>
        <w:tc>
          <w:tcPr>
            <w:tcW w:w="8003" w:type="dxa"/>
          </w:tcPr>
          <w:p w14:paraId="18B23CC2" w14:textId="0400C7BE" w:rsidR="00B920E3" w:rsidRDefault="00B920E3">
            <w:r>
              <w:t>Emerg</w:t>
            </w:r>
            <w:r>
              <w:t>ency repairs completed within target timescale</w:t>
            </w:r>
          </w:p>
        </w:tc>
        <w:tc>
          <w:tcPr>
            <w:tcW w:w="1417" w:type="dxa"/>
          </w:tcPr>
          <w:p w14:paraId="08D18DC3" w14:textId="40BAA048" w:rsidR="00B920E3" w:rsidRDefault="00B920E3" w:rsidP="00B920E3">
            <w:pPr>
              <w:jc w:val="center"/>
            </w:pPr>
            <w:r>
              <w:t>95.6%</w:t>
            </w:r>
          </w:p>
        </w:tc>
      </w:tr>
      <w:tr w:rsidR="00B920E3" w14:paraId="59E444BC" w14:textId="77777777" w:rsidTr="00B920E3">
        <w:tc>
          <w:tcPr>
            <w:tcW w:w="781" w:type="dxa"/>
          </w:tcPr>
          <w:p w14:paraId="15BD0768" w14:textId="591D2280" w:rsidR="00B920E3" w:rsidRDefault="00B920E3">
            <w:r>
              <w:t>BS01</w:t>
            </w:r>
          </w:p>
        </w:tc>
        <w:tc>
          <w:tcPr>
            <w:tcW w:w="8003" w:type="dxa"/>
          </w:tcPr>
          <w:p w14:paraId="0FD1E8CA" w14:textId="5DC0C9F7" w:rsidR="00B920E3" w:rsidRDefault="00B920E3">
            <w:r>
              <w:t>Gas safety checks</w:t>
            </w:r>
          </w:p>
        </w:tc>
        <w:tc>
          <w:tcPr>
            <w:tcW w:w="1417" w:type="dxa"/>
          </w:tcPr>
          <w:p w14:paraId="02DC5638" w14:textId="6345CAC0" w:rsidR="00B920E3" w:rsidRDefault="00B920E3" w:rsidP="00B920E3">
            <w:pPr>
              <w:jc w:val="center"/>
            </w:pPr>
            <w:r>
              <w:t>99.8%</w:t>
            </w:r>
          </w:p>
        </w:tc>
      </w:tr>
      <w:tr w:rsidR="00B920E3" w14:paraId="4F45CDBA" w14:textId="77777777" w:rsidTr="00B920E3">
        <w:tc>
          <w:tcPr>
            <w:tcW w:w="781" w:type="dxa"/>
          </w:tcPr>
          <w:p w14:paraId="7948AF8C" w14:textId="4E0FA752" w:rsidR="00B920E3" w:rsidRDefault="00B920E3">
            <w:r>
              <w:t>BS02</w:t>
            </w:r>
          </w:p>
        </w:tc>
        <w:tc>
          <w:tcPr>
            <w:tcW w:w="8003" w:type="dxa"/>
          </w:tcPr>
          <w:p w14:paraId="748377CE" w14:textId="09991724" w:rsidR="00B920E3" w:rsidRDefault="00B920E3">
            <w:r>
              <w:t>Fire safety checks</w:t>
            </w:r>
          </w:p>
        </w:tc>
        <w:tc>
          <w:tcPr>
            <w:tcW w:w="1417" w:type="dxa"/>
          </w:tcPr>
          <w:p w14:paraId="7298140B" w14:textId="617572B3" w:rsidR="00B920E3" w:rsidRDefault="00B920E3" w:rsidP="00B920E3">
            <w:pPr>
              <w:jc w:val="center"/>
            </w:pPr>
            <w:r>
              <w:t>100%</w:t>
            </w:r>
          </w:p>
        </w:tc>
      </w:tr>
      <w:tr w:rsidR="00B920E3" w14:paraId="1AFBEE8F" w14:textId="77777777" w:rsidTr="00B920E3">
        <w:tc>
          <w:tcPr>
            <w:tcW w:w="781" w:type="dxa"/>
          </w:tcPr>
          <w:p w14:paraId="22FF184D" w14:textId="5444AF7E" w:rsidR="00B920E3" w:rsidRDefault="00B920E3">
            <w:r>
              <w:t>BS03</w:t>
            </w:r>
          </w:p>
        </w:tc>
        <w:tc>
          <w:tcPr>
            <w:tcW w:w="8003" w:type="dxa"/>
          </w:tcPr>
          <w:p w14:paraId="2F541405" w14:textId="4DB53679" w:rsidR="00B920E3" w:rsidRDefault="00B920E3">
            <w:r>
              <w:t>Asbestos safety checks</w:t>
            </w:r>
          </w:p>
        </w:tc>
        <w:tc>
          <w:tcPr>
            <w:tcW w:w="1417" w:type="dxa"/>
          </w:tcPr>
          <w:p w14:paraId="4790D9AF" w14:textId="3CA3292E" w:rsidR="00B920E3" w:rsidRDefault="00B920E3" w:rsidP="00B920E3">
            <w:pPr>
              <w:jc w:val="center"/>
            </w:pPr>
            <w:r>
              <w:t>99.4%</w:t>
            </w:r>
          </w:p>
        </w:tc>
      </w:tr>
      <w:tr w:rsidR="00B920E3" w14:paraId="3F6068A9" w14:textId="77777777" w:rsidTr="00B920E3">
        <w:tc>
          <w:tcPr>
            <w:tcW w:w="781" w:type="dxa"/>
          </w:tcPr>
          <w:p w14:paraId="105E60AE" w14:textId="6304C678" w:rsidR="00B920E3" w:rsidRDefault="00B920E3">
            <w:r>
              <w:t>BS04</w:t>
            </w:r>
          </w:p>
        </w:tc>
        <w:tc>
          <w:tcPr>
            <w:tcW w:w="8003" w:type="dxa"/>
          </w:tcPr>
          <w:p w14:paraId="0FAFB1EE" w14:textId="3C75DC77" w:rsidR="00B920E3" w:rsidRDefault="00B920E3">
            <w:r>
              <w:t>Water safety checks</w:t>
            </w:r>
          </w:p>
        </w:tc>
        <w:tc>
          <w:tcPr>
            <w:tcW w:w="1417" w:type="dxa"/>
          </w:tcPr>
          <w:p w14:paraId="6249AC35" w14:textId="009B299E" w:rsidR="00B920E3" w:rsidRDefault="00B920E3" w:rsidP="00B920E3">
            <w:pPr>
              <w:jc w:val="center"/>
            </w:pPr>
            <w:r>
              <w:t>100%</w:t>
            </w:r>
          </w:p>
        </w:tc>
      </w:tr>
      <w:tr w:rsidR="00B920E3" w14:paraId="5775D95C" w14:textId="77777777" w:rsidTr="00B920E3">
        <w:tc>
          <w:tcPr>
            <w:tcW w:w="781" w:type="dxa"/>
          </w:tcPr>
          <w:p w14:paraId="49F8632C" w14:textId="43BFCBDC" w:rsidR="00B920E3" w:rsidRDefault="00B920E3">
            <w:r>
              <w:t>BS05</w:t>
            </w:r>
          </w:p>
        </w:tc>
        <w:tc>
          <w:tcPr>
            <w:tcW w:w="8003" w:type="dxa"/>
          </w:tcPr>
          <w:p w14:paraId="590173E9" w14:textId="7C513CB5" w:rsidR="00B920E3" w:rsidRDefault="00B920E3">
            <w:r>
              <w:t>Lift safety checks</w:t>
            </w:r>
          </w:p>
        </w:tc>
        <w:tc>
          <w:tcPr>
            <w:tcW w:w="1417" w:type="dxa"/>
          </w:tcPr>
          <w:p w14:paraId="27C8A530" w14:textId="3E1216A5" w:rsidR="00B920E3" w:rsidRDefault="00B920E3" w:rsidP="00B920E3">
            <w:pPr>
              <w:jc w:val="center"/>
            </w:pPr>
            <w:r>
              <w:t>100%</w:t>
            </w:r>
          </w:p>
        </w:tc>
      </w:tr>
    </w:tbl>
    <w:p w14:paraId="7AE79170" w14:textId="77777777" w:rsidR="004504F7" w:rsidRDefault="004504F7"/>
    <w:sectPr w:rsidR="004504F7" w:rsidSect="00B92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F7"/>
    <w:rsid w:val="0006514C"/>
    <w:rsid w:val="004504F7"/>
    <w:rsid w:val="005D3BE4"/>
    <w:rsid w:val="00972EC2"/>
    <w:rsid w:val="00B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731F"/>
  <w15:chartTrackingRefBased/>
  <w15:docId w15:val="{36248EF4-2709-467F-972D-7DA710A4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4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4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4F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4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4F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4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4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4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4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4F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4F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4F7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4F7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4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4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4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4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04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4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04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04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04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04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04F7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4F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4F7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04F7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45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O'Grady, Jen</dc:creator>
  <cp:keywords/>
  <dc:description/>
  <cp:lastModifiedBy>O'Grady, Jen</cp:lastModifiedBy>
  <cp:revision>1</cp:revision>
  <dcterms:created xsi:type="dcterms:W3CDTF">2024-06-18T10:49:00Z</dcterms:created>
  <dcterms:modified xsi:type="dcterms:W3CDTF">2024-06-18T11:24:00Z</dcterms:modified>
</cp:coreProperties>
</file>